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2B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bookmarkStart w:id="6" w:name="_GoBack"/>
      <w:bookmarkEnd w:id="6"/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：</w:t>
      </w:r>
      <w:r>
        <w:rPr>
          <w:rFonts w:hint="eastAsia"/>
          <w:b/>
          <w:bCs/>
          <w:sz w:val="32"/>
          <w:szCs w:val="32"/>
          <w:lang w:val="en-US" w:eastAsia="zh-CN"/>
        </w:rPr>
        <w:t>昌江黎族自治县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戈枕金矿带环境重金属调查评估项目——农产品、畜产品及水产品健康风险调查（</w:t>
      </w:r>
      <w:r>
        <w:rPr>
          <w:rFonts w:hint="eastAsia"/>
          <w:b/>
          <w:bCs/>
          <w:sz w:val="32"/>
          <w:szCs w:val="32"/>
          <w:lang w:val="en-US" w:eastAsia="zh-CN"/>
        </w:rPr>
        <w:t>C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包）</w:t>
      </w:r>
    </w:p>
    <w:p w14:paraId="3ED8F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一、项目名称</w:t>
      </w:r>
    </w:p>
    <w:p w14:paraId="34A0D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bookmarkStart w:id="0" w:name="二、项目实施期限(工期)：_"/>
      <w:bookmarkEnd w:id="0"/>
      <w:r>
        <w:rPr>
          <w:rFonts w:hint="eastAsia"/>
          <w:sz w:val="28"/>
          <w:szCs w:val="28"/>
          <w:lang w:eastAsia="zh-CN"/>
        </w:rPr>
        <w:t>昌江</w:t>
      </w:r>
      <w:r>
        <w:rPr>
          <w:rFonts w:hint="eastAsia"/>
          <w:sz w:val="28"/>
          <w:szCs w:val="28"/>
          <w:lang w:val="en-US" w:eastAsia="zh-CN"/>
        </w:rPr>
        <w:t>黎族自治</w:t>
      </w:r>
      <w:r>
        <w:rPr>
          <w:rFonts w:hint="eastAsia"/>
          <w:sz w:val="28"/>
          <w:szCs w:val="28"/>
          <w:lang w:eastAsia="zh-CN"/>
        </w:rPr>
        <w:t>县</w:t>
      </w:r>
      <w:r>
        <w:rPr>
          <w:rFonts w:hint="eastAsia"/>
          <w:sz w:val="28"/>
          <w:szCs w:val="28"/>
        </w:rPr>
        <w:t>戈枕金矿带环境重金属调查评估项目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农产品、畜产品及水产品健康风险调查（C包）</w:t>
      </w:r>
    </w:p>
    <w:p w14:paraId="65382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二、项目实施期限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</w:rPr>
        <w:t>服务期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 w14:paraId="19047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自</w:t>
      </w:r>
      <w:r>
        <w:rPr>
          <w:rFonts w:hint="eastAsia"/>
          <w:sz w:val="28"/>
          <w:szCs w:val="28"/>
        </w:rPr>
        <w:t>合同签订之日起</w:t>
      </w:r>
      <w:r>
        <w:rPr>
          <w:sz w:val="28"/>
          <w:szCs w:val="28"/>
          <w:lang w:val="zh-CN"/>
        </w:rPr>
        <w:t>至202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  <w:lang w:val="zh-CN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  <w:lang w:val="zh-CN"/>
        </w:rPr>
        <w:t>月3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  <w:lang w:val="zh-CN"/>
        </w:rPr>
        <w:t>日。</w:t>
      </w:r>
      <w:bookmarkStart w:id="1" w:name="三、项目实施地点：_"/>
      <w:bookmarkEnd w:id="1"/>
    </w:p>
    <w:p w14:paraId="69101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  <w:lang w:val="zh-CN"/>
        </w:rPr>
      </w:pPr>
      <w:r>
        <w:rPr>
          <w:b/>
          <w:bCs/>
          <w:sz w:val="28"/>
          <w:szCs w:val="28"/>
        </w:rPr>
        <w:t>三、项目实施地点</w:t>
      </w:r>
    </w:p>
    <w:p w14:paraId="7DA02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</w:rPr>
        <w:t>用户指定地点</w:t>
      </w:r>
      <w:r>
        <w:rPr>
          <w:sz w:val="28"/>
          <w:szCs w:val="28"/>
          <w:lang w:val="zh-CN"/>
        </w:rPr>
        <w:t>。</w:t>
      </w:r>
      <w:bookmarkStart w:id="2" w:name="四、项目背景_"/>
      <w:bookmarkEnd w:id="2"/>
    </w:p>
    <w:p w14:paraId="60A2D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四、项目背景</w:t>
      </w:r>
    </w:p>
    <w:p w14:paraId="66475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>历次调查逐渐凸显出</w:t>
      </w:r>
      <w:r>
        <w:rPr>
          <w:rFonts w:hint="eastAsia"/>
          <w:sz w:val="28"/>
          <w:szCs w:val="28"/>
          <w:lang w:val="en-US" w:eastAsia="zh-CN"/>
        </w:rPr>
        <w:t>土外山金矿区域</w:t>
      </w:r>
      <w:r>
        <w:rPr>
          <w:rFonts w:hint="eastAsia"/>
          <w:sz w:val="28"/>
          <w:szCs w:val="28"/>
          <w:lang w:val="zh-CN"/>
        </w:rPr>
        <w:t>环境问题</w:t>
      </w:r>
      <w:r>
        <w:rPr>
          <w:rFonts w:hint="eastAsia"/>
          <w:sz w:val="28"/>
          <w:szCs w:val="28"/>
          <w:lang w:val="en-US" w:eastAsia="zh-CN"/>
        </w:rPr>
        <w:t>严重</w:t>
      </w:r>
      <w:r>
        <w:rPr>
          <w:rFonts w:hint="eastAsia"/>
          <w:sz w:val="28"/>
          <w:szCs w:val="28"/>
          <w:lang w:val="zh-CN"/>
        </w:rPr>
        <w:t>，该区域作为我省最大的黄金资源聚集地，矿石伴生的砷等重金属元素在采选、冶炼过程中被大量带出地表。因矿产开发前期较为粗放的管理模式，矿带内大量废矿石、废矿渣、民采遗迹未得到有效处置，逐渐成为大大小小的污染源，严重影响</w:t>
      </w:r>
      <w:r>
        <w:rPr>
          <w:rFonts w:hint="eastAsia"/>
          <w:sz w:val="28"/>
          <w:szCs w:val="28"/>
          <w:lang w:val="en-US" w:eastAsia="zh-CN"/>
        </w:rPr>
        <w:t>该区域内</w:t>
      </w:r>
      <w:r>
        <w:rPr>
          <w:rFonts w:hint="eastAsia"/>
          <w:sz w:val="28"/>
          <w:szCs w:val="28"/>
          <w:lang w:val="zh-CN"/>
        </w:rPr>
        <w:t>农产品、畜产品及水产品健康风险</w:t>
      </w:r>
      <w:r>
        <w:rPr>
          <w:sz w:val="28"/>
          <w:szCs w:val="28"/>
          <w:lang w:val="zh-CN"/>
        </w:rPr>
        <w:t>。</w:t>
      </w:r>
    </w:p>
    <w:p w14:paraId="0EF37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bookmarkStart w:id="3" w:name="六、建设内容_"/>
      <w:bookmarkEnd w:id="3"/>
      <w:bookmarkStart w:id="4" w:name="五、建设目标_"/>
      <w:bookmarkEnd w:id="4"/>
      <w:r>
        <w:rPr>
          <w:b/>
          <w:bCs/>
          <w:sz w:val="28"/>
          <w:szCs w:val="28"/>
        </w:rPr>
        <w:t>五、采购内容</w:t>
      </w:r>
    </w:p>
    <w:p w14:paraId="6F562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 w:val="0"/>
          <w:bCs w:val="0"/>
          <w:sz w:val="28"/>
          <w:szCs w:val="28"/>
        </w:rPr>
      </w:pPr>
      <w:bookmarkStart w:id="5" w:name="七、项目成果_"/>
      <w:bookmarkEnd w:id="5"/>
      <w:r>
        <w:rPr>
          <w:rFonts w:hint="eastAsia" w:ascii="Times New Roman" w:hAnsi="Times New Roman"/>
          <w:b w:val="0"/>
          <w:bCs w:val="0"/>
          <w:sz w:val="28"/>
          <w:szCs w:val="28"/>
          <w:lang w:val="zh-CN"/>
        </w:rPr>
        <w:t>协助我方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完成</w:t>
      </w:r>
      <w:r>
        <w:rPr>
          <w:rFonts w:hint="eastAsia" w:ascii="Times New Roman" w:hAnsi="Times New Roman"/>
          <w:b w:val="0"/>
          <w:bCs w:val="0"/>
          <w:sz w:val="28"/>
          <w:szCs w:val="28"/>
          <w:lang w:val="zh-CN"/>
        </w:rPr>
        <w:t>农产品、畜产品和水产品健康风险调查工作</w:t>
      </w:r>
      <w:r>
        <w:rPr>
          <w:rFonts w:hint="eastAsia"/>
          <w:b w:val="0"/>
          <w:bCs w:val="0"/>
          <w:sz w:val="28"/>
          <w:szCs w:val="28"/>
          <w:lang w:val="zh-CN"/>
        </w:rPr>
        <w:t>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并对其健康风险做评估</w:t>
      </w:r>
      <w:r>
        <w:rPr>
          <w:rFonts w:ascii="Times New Roman" w:hAnsi="Times New Roman"/>
          <w:b w:val="0"/>
          <w:bCs w:val="0"/>
          <w:sz w:val="28"/>
          <w:szCs w:val="28"/>
          <w:lang w:val="zh-CN"/>
        </w:rPr>
        <w:t>。</w:t>
      </w:r>
    </w:p>
    <w:p w14:paraId="6DCCC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六、项目成果要求</w:t>
      </w:r>
    </w:p>
    <w:p w14:paraId="25AE5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zh-CN"/>
        </w:rPr>
        <w:t>《昌江</w:t>
      </w:r>
      <w:r>
        <w:rPr>
          <w:rFonts w:hint="eastAsia"/>
          <w:sz w:val="28"/>
          <w:szCs w:val="28"/>
          <w:lang w:val="en-US" w:eastAsia="zh-CN"/>
        </w:rPr>
        <w:t>黎族自治</w:t>
      </w:r>
      <w:r>
        <w:rPr>
          <w:rFonts w:hint="eastAsia"/>
          <w:sz w:val="28"/>
          <w:szCs w:val="28"/>
          <w:lang w:val="zh-CN"/>
        </w:rPr>
        <w:t>县戈枕金矿带土</w:t>
      </w:r>
      <w:r>
        <w:rPr>
          <w:rFonts w:hint="eastAsia"/>
          <w:sz w:val="28"/>
          <w:szCs w:val="28"/>
          <w:lang w:val="en-US" w:eastAsia="zh-CN"/>
        </w:rPr>
        <w:t>环境重金属健康风险评估报告</w:t>
      </w:r>
      <w:r>
        <w:rPr>
          <w:rFonts w:hint="eastAsia"/>
          <w:sz w:val="28"/>
          <w:szCs w:val="28"/>
          <w:lang w:val="zh-CN"/>
        </w:rPr>
        <w:t>》电子版、纸质版。</w:t>
      </w:r>
    </w:p>
    <w:p w14:paraId="65782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  <w:lang w:val="zh-CN"/>
        </w:rPr>
      </w:pPr>
      <w:r>
        <w:rPr>
          <w:b/>
          <w:bCs/>
          <w:sz w:val="28"/>
          <w:szCs w:val="28"/>
        </w:rPr>
        <w:t>七</w:t>
      </w:r>
      <w:r>
        <w:rPr>
          <w:b/>
          <w:bCs/>
          <w:sz w:val="28"/>
          <w:szCs w:val="28"/>
          <w:lang w:val="zh-CN"/>
        </w:rPr>
        <w:t>、项目总体要求</w:t>
      </w:r>
    </w:p>
    <w:p w14:paraId="4360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1、技术质量要求</w:t>
      </w:r>
    </w:p>
    <w:p w14:paraId="7CAE7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参照《</w:t>
      </w:r>
      <w:r>
        <w:rPr>
          <w:rFonts w:hint="eastAsia"/>
          <w:sz w:val="28"/>
          <w:szCs w:val="28"/>
          <w:lang w:val="en-US" w:eastAsia="zh-CN"/>
        </w:rPr>
        <w:t>河流水生态环境质量监测与评价技术指南</w:t>
      </w:r>
      <w:r>
        <w:rPr>
          <w:rFonts w:hint="eastAsia"/>
          <w:sz w:val="28"/>
          <w:szCs w:val="28"/>
          <w:lang w:val="zh-CN"/>
        </w:rPr>
        <w:t>》（</w:t>
      </w:r>
      <w:r>
        <w:rPr>
          <w:rFonts w:hint="eastAsia"/>
          <w:sz w:val="28"/>
          <w:szCs w:val="28"/>
          <w:lang w:val="en-US" w:eastAsia="zh-CN"/>
        </w:rPr>
        <w:t>征求意见稿</w:t>
      </w:r>
      <w:r>
        <w:rPr>
          <w:rFonts w:hint="eastAsia"/>
          <w:sz w:val="28"/>
          <w:szCs w:val="28"/>
          <w:lang w:val="zh-CN"/>
        </w:rPr>
        <w:t>）、《</w:t>
      </w:r>
      <w:r>
        <w:rPr>
          <w:rFonts w:hint="eastAsia"/>
          <w:sz w:val="28"/>
          <w:szCs w:val="28"/>
          <w:lang w:val="en-US" w:eastAsia="zh-CN"/>
        </w:rPr>
        <w:t>水生态监测技术指南 河流水生生物监测与评价（试行）</w:t>
      </w:r>
      <w:r>
        <w:rPr>
          <w:rFonts w:hint="eastAsia"/>
          <w:sz w:val="28"/>
          <w:szCs w:val="28"/>
          <w:lang w:val="zh-CN"/>
        </w:rPr>
        <w:t>》（</w:t>
      </w:r>
      <w:r>
        <w:rPr>
          <w:rFonts w:hint="eastAsia"/>
          <w:sz w:val="28"/>
          <w:szCs w:val="28"/>
          <w:lang w:val="en-US" w:eastAsia="zh-CN"/>
        </w:rPr>
        <w:t>HJ 1295-2023</w:t>
      </w:r>
      <w:r>
        <w:rPr>
          <w:rFonts w:hint="eastAsia"/>
          <w:sz w:val="28"/>
          <w:szCs w:val="28"/>
          <w:lang w:val="zh-CN"/>
        </w:rPr>
        <w:t>）及《</w:t>
      </w:r>
      <w:r>
        <w:rPr>
          <w:rFonts w:hint="eastAsia"/>
          <w:sz w:val="28"/>
          <w:szCs w:val="28"/>
          <w:lang w:val="en-US" w:eastAsia="zh-CN"/>
        </w:rPr>
        <w:t>水生态监测技术指南 湖泊和水库水生生物监测与评价（试行）</w:t>
      </w:r>
      <w:r>
        <w:rPr>
          <w:rFonts w:hint="eastAsia"/>
          <w:sz w:val="28"/>
          <w:szCs w:val="28"/>
          <w:lang w:val="zh-CN"/>
        </w:rPr>
        <w:t>》（</w:t>
      </w:r>
      <w:r>
        <w:rPr>
          <w:rFonts w:hint="eastAsia"/>
          <w:sz w:val="28"/>
          <w:szCs w:val="28"/>
          <w:lang w:val="en-US" w:eastAsia="zh-CN"/>
        </w:rPr>
        <w:t>HJ 1296-2023</w:t>
      </w:r>
      <w:r>
        <w:rPr>
          <w:rFonts w:hint="eastAsia"/>
          <w:sz w:val="28"/>
          <w:szCs w:val="28"/>
          <w:lang w:val="zh-CN"/>
        </w:rPr>
        <w:t>）等相关文件要求开展。</w:t>
      </w:r>
    </w:p>
    <w:p w14:paraId="3416C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2、时间进度要求</w:t>
      </w:r>
    </w:p>
    <w:p w14:paraId="7D42E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sz w:val="28"/>
          <w:szCs w:val="28"/>
          <w:lang w:val="zh-CN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  <w:lang w:val="zh-CN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  <w:lang w:val="zh-CN"/>
        </w:rPr>
        <w:t>月3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  <w:lang w:val="zh-CN"/>
        </w:rPr>
        <w:t>日</w:t>
      </w:r>
      <w:r>
        <w:rPr>
          <w:rFonts w:hint="eastAsia"/>
          <w:sz w:val="28"/>
          <w:szCs w:val="28"/>
          <w:lang w:val="zh-CN"/>
        </w:rPr>
        <w:t>前</w:t>
      </w:r>
      <w:r>
        <w:rPr>
          <w:rFonts w:hint="eastAsia"/>
          <w:sz w:val="28"/>
          <w:szCs w:val="28"/>
          <w:lang w:val="en-US" w:eastAsia="zh-CN"/>
        </w:rPr>
        <w:t>完成</w:t>
      </w:r>
      <w:r>
        <w:rPr>
          <w:rFonts w:hint="eastAsia"/>
          <w:sz w:val="28"/>
          <w:szCs w:val="28"/>
          <w:lang w:val="zh-CN"/>
        </w:rPr>
        <w:t>昌江黎族自治县戈枕金矿带环境重金属健康风险评估报告</w:t>
      </w:r>
      <w:r>
        <w:rPr>
          <w:rFonts w:hint="eastAsia"/>
          <w:sz w:val="28"/>
          <w:szCs w:val="28"/>
          <w:lang w:val="en-US" w:eastAsia="zh-CN"/>
        </w:rPr>
        <w:t>编制工作</w:t>
      </w:r>
      <w:r>
        <w:rPr>
          <w:rFonts w:hint="eastAsia"/>
          <w:sz w:val="28"/>
          <w:szCs w:val="28"/>
          <w:lang w:val="zh-CN"/>
        </w:rPr>
        <w:t>。</w:t>
      </w:r>
    </w:p>
    <w:p w14:paraId="16609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八、项目采购金额</w:t>
      </w:r>
    </w:p>
    <w:p w14:paraId="62A4B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项目采购金额不超过人民币</w:t>
      </w:r>
      <w:r>
        <w:rPr>
          <w:rFonts w:hint="eastAsia"/>
          <w:sz w:val="28"/>
          <w:szCs w:val="28"/>
          <w:lang w:val="en-US" w:eastAsia="zh-CN"/>
        </w:rPr>
        <w:t>拾柒万元</w:t>
      </w:r>
      <w:r>
        <w:rPr>
          <w:rFonts w:hint="eastAsia"/>
          <w:sz w:val="28"/>
          <w:szCs w:val="28"/>
        </w:rPr>
        <w:t>整（</w:t>
      </w:r>
      <w:r>
        <w:rPr>
          <w:sz w:val="28"/>
          <w:szCs w:val="28"/>
        </w:rPr>
        <w:t>¥</w:t>
      </w:r>
      <w:r>
        <w:rPr>
          <w:rFonts w:hint="eastAsia"/>
          <w:sz w:val="28"/>
          <w:szCs w:val="28"/>
          <w:lang w:val="en-US" w:eastAsia="zh-CN"/>
        </w:rPr>
        <w:t>170,000</w:t>
      </w:r>
      <w:r>
        <w:rPr>
          <w:rFonts w:hint="eastAsia"/>
          <w:sz w:val="28"/>
          <w:szCs w:val="28"/>
        </w:rPr>
        <w:t>.00）</w:t>
      </w:r>
    </w:p>
    <w:p w14:paraId="07C7D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九、★版权及保密要求（提供承诺书，否则按废标处理）</w:t>
      </w:r>
    </w:p>
    <w:p w14:paraId="17058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1、中标人向采购人提交的委托工作成果及由此而产生</w:t>
      </w:r>
      <w:r>
        <w:rPr>
          <w:rFonts w:hint="eastAsia"/>
          <w:sz w:val="28"/>
          <w:szCs w:val="28"/>
          <w:lang w:val="zh-CN"/>
        </w:rPr>
        <w:t>的著作权均归采购人所有，未经采购人同意中标人不得擅自对外进行宣传、发表、出版等方式予以传播。</w:t>
      </w:r>
    </w:p>
    <w:p w14:paraId="29501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2、中标人保证其提交的工作成果为其独立完成，没有</w:t>
      </w:r>
      <w:r>
        <w:rPr>
          <w:rFonts w:hint="eastAsia"/>
          <w:sz w:val="28"/>
          <w:szCs w:val="28"/>
          <w:lang w:val="zh-CN"/>
        </w:rPr>
        <w:t>侵犯任何其他第三方的著作权。</w:t>
      </w:r>
    </w:p>
    <w:p w14:paraId="18CF5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3、中标人对于完成委托事项过程中掌握的</w:t>
      </w:r>
      <w:r>
        <w:rPr>
          <w:rFonts w:hint="eastAsia"/>
          <w:sz w:val="28"/>
          <w:szCs w:val="28"/>
        </w:rPr>
        <w:t>数据、</w:t>
      </w:r>
      <w:r>
        <w:rPr>
          <w:sz w:val="28"/>
          <w:szCs w:val="28"/>
          <w:lang w:val="zh-CN"/>
        </w:rPr>
        <w:t>资料、信息</w:t>
      </w:r>
      <w:r>
        <w:rPr>
          <w:rFonts w:hint="eastAsia"/>
          <w:sz w:val="28"/>
          <w:szCs w:val="28"/>
          <w:lang w:val="zh-CN"/>
        </w:rPr>
        <w:t>等负有保密义务，擅自泄密须承担法律责任。</w:t>
      </w:r>
    </w:p>
    <w:p w14:paraId="41622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十</w:t>
      </w:r>
      <w:r>
        <w:rPr>
          <w:b/>
          <w:bCs/>
          <w:sz w:val="28"/>
          <w:szCs w:val="28"/>
        </w:rPr>
        <w:t>、项目相关要求</w:t>
      </w:r>
    </w:p>
    <w:p w14:paraId="2BEE5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sz w:val="28"/>
          <w:szCs w:val="28"/>
        </w:rPr>
        <w:t>必须根据所投</w:t>
      </w:r>
      <w:r>
        <w:rPr>
          <w:rFonts w:hint="eastAsia"/>
          <w:sz w:val="28"/>
          <w:szCs w:val="28"/>
        </w:rPr>
        <w:t>项目内容</w:t>
      </w:r>
      <w:r>
        <w:rPr>
          <w:sz w:val="28"/>
          <w:szCs w:val="28"/>
        </w:rPr>
        <w:t>、资质资料编写</w:t>
      </w: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sz w:val="28"/>
          <w:szCs w:val="28"/>
        </w:rPr>
        <w:t>文件。在中标结果公示期间，采购人有权对中标候选人所投产品的资质证书等进行核查，如发现与其</w:t>
      </w:r>
      <w:r>
        <w:rPr>
          <w:rFonts w:hint="eastAsia"/>
          <w:sz w:val="28"/>
          <w:szCs w:val="28"/>
          <w:lang w:val="en-US" w:eastAsia="zh-CN"/>
        </w:rPr>
        <w:t>响应</w:t>
      </w:r>
      <w:r>
        <w:rPr>
          <w:sz w:val="28"/>
          <w:szCs w:val="28"/>
        </w:rPr>
        <w:t>文件中的描述不一，</w:t>
      </w:r>
      <w:r>
        <w:rPr>
          <w:rFonts w:hint="eastAsia"/>
          <w:sz w:val="28"/>
          <w:szCs w:val="28"/>
          <w:lang w:val="en-US" w:eastAsia="zh-CN"/>
        </w:rPr>
        <w:t>我单位有权重新确定其他中标人</w:t>
      </w:r>
      <w:r>
        <w:rPr>
          <w:sz w:val="28"/>
          <w:szCs w:val="28"/>
        </w:rPr>
        <w:t>。</w:t>
      </w:r>
    </w:p>
    <w:p w14:paraId="0A913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中标人</w:t>
      </w:r>
      <w:r>
        <w:rPr>
          <w:sz w:val="28"/>
          <w:szCs w:val="28"/>
        </w:rPr>
        <w:t>要保持同采购人的密切联系，遇有重大事项及时报告和反馈信息，尊重项目业主方的意见，接受项目业主方的提议、监督和指导。</w:t>
      </w:r>
    </w:p>
    <w:p w14:paraId="67054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  <w:lang w:val="en-US" w:eastAsia="zh-CN"/>
        </w:rPr>
        <w:t>供应商</w:t>
      </w:r>
      <w:r>
        <w:rPr>
          <w:sz w:val="28"/>
          <w:szCs w:val="28"/>
        </w:rPr>
        <w:t>必须如实地对各项技术要求作出明确的逐项响应承诺，并对其真实性负责。</w:t>
      </w:r>
    </w:p>
    <w:p w14:paraId="0557A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以下无正文。</w:t>
      </w:r>
    </w:p>
    <w:p w14:paraId="25EDE9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3A8A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1D94DC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1D94DC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Njc2ZmZjNGFjOTU5NDMwMGRlZTRkZjJkYzAyMzYifQ=="/>
  </w:docVars>
  <w:rsids>
    <w:rsidRoot w:val="00000000"/>
    <w:rsid w:val="01002E47"/>
    <w:rsid w:val="012C6EBE"/>
    <w:rsid w:val="01984BCA"/>
    <w:rsid w:val="02D37EB0"/>
    <w:rsid w:val="03D660AA"/>
    <w:rsid w:val="04F04544"/>
    <w:rsid w:val="05156F29"/>
    <w:rsid w:val="0568765E"/>
    <w:rsid w:val="058E7D29"/>
    <w:rsid w:val="07630A9D"/>
    <w:rsid w:val="0969796D"/>
    <w:rsid w:val="0A0C0347"/>
    <w:rsid w:val="0B8A2AEF"/>
    <w:rsid w:val="0BD03FE5"/>
    <w:rsid w:val="0BF02B0C"/>
    <w:rsid w:val="0C2B1E54"/>
    <w:rsid w:val="0C5120AA"/>
    <w:rsid w:val="0D037C1E"/>
    <w:rsid w:val="0D135C35"/>
    <w:rsid w:val="0DD355A7"/>
    <w:rsid w:val="0ED15AD7"/>
    <w:rsid w:val="0F644AD0"/>
    <w:rsid w:val="0FCD487B"/>
    <w:rsid w:val="108E10B6"/>
    <w:rsid w:val="10D66437"/>
    <w:rsid w:val="138C2B62"/>
    <w:rsid w:val="17317E01"/>
    <w:rsid w:val="17554358"/>
    <w:rsid w:val="18722F9A"/>
    <w:rsid w:val="19937CFB"/>
    <w:rsid w:val="1CD44C00"/>
    <w:rsid w:val="1F4A4E40"/>
    <w:rsid w:val="201E5402"/>
    <w:rsid w:val="21FB4D50"/>
    <w:rsid w:val="221E697A"/>
    <w:rsid w:val="22547CD2"/>
    <w:rsid w:val="22A15903"/>
    <w:rsid w:val="23E843C9"/>
    <w:rsid w:val="26CB0C28"/>
    <w:rsid w:val="26E77978"/>
    <w:rsid w:val="26EA2C4D"/>
    <w:rsid w:val="278B1881"/>
    <w:rsid w:val="28E45046"/>
    <w:rsid w:val="28F06F5B"/>
    <w:rsid w:val="2A2E570E"/>
    <w:rsid w:val="2BD36576"/>
    <w:rsid w:val="2C0B2FE1"/>
    <w:rsid w:val="2C236465"/>
    <w:rsid w:val="2D9C512F"/>
    <w:rsid w:val="2EC555A3"/>
    <w:rsid w:val="2F39364A"/>
    <w:rsid w:val="2F544EB3"/>
    <w:rsid w:val="302468C5"/>
    <w:rsid w:val="326B53AF"/>
    <w:rsid w:val="32E3448E"/>
    <w:rsid w:val="347F6A66"/>
    <w:rsid w:val="357D6B0B"/>
    <w:rsid w:val="36E776B4"/>
    <w:rsid w:val="3713793F"/>
    <w:rsid w:val="37792378"/>
    <w:rsid w:val="37D66B00"/>
    <w:rsid w:val="385D7AA9"/>
    <w:rsid w:val="3A215982"/>
    <w:rsid w:val="3B863993"/>
    <w:rsid w:val="3BA932EE"/>
    <w:rsid w:val="3BF43905"/>
    <w:rsid w:val="3C9F2581"/>
    <w:rsid w:val="3CAB509D"/>
    <w:rsid w:val="3D5620B0"/>
    <w:rsid w:val="3FCC4BD5"/>
    <w:rsid w:val="408449F9"/>
    <w:rsid w:val="40DC4A8E"/>
    <w:rsid w:val="432148DB"/>
    <w:rsid w:val="43277230"/>
    <w:rsid w:val="43AF4F24"/>
    <w:rsid w:val="43B0037F"/>
    <w:rsid w:val="446C5C38"/>
    <w:rsid w:val="45706EBF"/>
    <w:rsid w:val="46750068"/>
    <w:rsid w:val="4698695F"/>
    <w:rsid w:val="472530B9"/>
    <w:rsid w:val="475C0A15"/>
    <w:rsid w:val="47E83846"/>
    <w:rsid w:val="483C0517"/>
    <w:rsid w:val="48FC5DC9"/>
    <w:rsid w:val="49060F7A"/>
    <w:rsid w:val="491A7FAF"/>
    <w:rsid w:val="4A0A0505"/>
    <w:rsid w:val="4B2826F0"/>
    <w:rsid w:val="4CB0029C"/>
    <w:rsid w:val="4EA169E3"/>
    <w:rsid w:val="4F8E6612"/>
    <w:rsid w:val="4FD5108C"/>
    <w:rsid w:val="50B951EB"/>
    <w:rsid w:val="513B53D4"/>
    <w:rsid w:val="53901A50"/>
    <w:rsid w:val="53A909D1"/>
    <w:rsid w:val="53F62FE0"/>
    <w:rsid w:val="547B71D9"/>
    <w:rsid w:val="57E675B5"/>
    <w:rsid w:val="57F7167E"/>
    <w:rsid w:val="59B80C41"/>
    <w:rsid w:val="59BE38A4"/>
    <w:rsid w:val="5A6E746B"/>
    <w:rsid w:val="5AFF1E8C"/>
    <w:rsid w:val="5BAD1791"/>
    <w:rsid w:val="5DC44693"/>
    <w:rsid w:val="5DE6679D"/>
    <w:rsid w:val="5DFA1BBA"/>
    <w:rsid w:val="5DFF690D"/>
    <w:rsid w:val="5EB13497"/>
    <w:rsid w:val="600F2BB2"/>
    <w:rsid w:val="607D1E5C"/>
    <w:rsid w:val="61795839"/>
    <w:rsid w:val="6254485D"/>
    <w:rsid w:val="63664E9F"/>
    <w:rsid w:val="63D01D60"/>
    <w:rsid w:val="644A6117"/>
    <w:rsid w:val="64826DE3"/>
    <w:rsid w:val="64C85F05"/>
    <w:rsid w:val="657C749B"/>
    <w:rsid w:val="66424063"/>
    <w:rsid w:val="66DF46BC"/>
    <w:rsid w:val="68B12C03"/>
    <w:rsid w:val="69147375"/>
    <w:rsid w:val="694825F4"/>
    <w:rsid w:val="699A3421"/>
    <w:rsid w:val="6A0318EF"/>
    <w:rsid w:val="6A353DD2"/>
    <w:rsid w:val="6CF92CFE"/>
    <w:rsid w:val="6E254DD5"/>
    <w:rsid w:val="70D626A8"/>
    <w:rsid w:val="72B11CCC"/>
    <w:rsid w:val="737230F7"/>
    <w:rsid w:val="75E6666D"/>
    <w:rsid w:val="770F6248"/>
    <w:rsid w:val="781F5709"/>
    <w:rsid w:val="783E1A56"/>
    <w:rsid w:val="789D3359"/>
    <w:rsid w:val="7ACB4CB6"/>
    <w:rsid w:val="7B60375F"/>
    <w:rsid w:val="7BAE6324"/>
    <w:rsid w:val="7BE75B20"/>
    <w:rsid w:val="7C12239B"/>
    <w:rsid w:val="7C8A0F5A"/>
    <w:rsid w:val="7DB75B54"/>
    <w:rsid w:val="7DDD6B97"/>
    <w:rsid w:val="7F3B2DEA"/>
    <w:rsid w:val="C6F7F88B"/>
    <w:rsid w:val="E38FB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after="50" w:afterLines="50" w:line="560" w:lineRule="exact"/>
      <w:ind w:firstLine="0" w:firstLineChars="0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keepNext/>
      <w:keepLines/>
      <w:spacing w:line="560" w:lineRule="exact"/>
      <w:ind w:firstLine="440" w:firstLineChars="100"/>
      <w:outlineLvl w:val="1"/>
    </w:pPr>
    <w:rPr>
      <w:rFonts w:ascii="Times New Roman" w:hAnsi="Times New Roman" w:eastAsia="黑体"/>
      <w:bCs/>
      <w:sz w:val="30"/>
      <w:szCs w:val="21"/>
    </w:rPr>
  </w:style>
  <w:style w:type="paragraph" w:styleId="4">
    <w:name w:val="heading 3"/>
    <w:basedOn w:val="1"/>
    <w:next w:val="1"/>
    <w:link w:val="31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3" w:firstLineChars="200"/>
      <w:outlineLvl w:val="3"/>
    </w:pPr>
    <w:rPr>
      <w:rFonts w:ascii="Times New Roman" w:hAnsi="Times New Roman" w:eastAsia="黑体"/>
    </w:rPr>
  </w:style>
  <w:style w:type="character" w:default="1" w:styleId="14">
    <w:name w:val="Default Paragraph Font"/>
    <w:semiHidden/>
    <w:qFormat/>
    <w:uiPriority w:val="0"/>
    <w:rPr>
      <w:rFonts w:ascii="Times New Roman" w:hAnsi="Times New Roman" w:eastAsia="仿宋_GB2312"/>
      <w:sz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 w:val="28"/>
    </w:rPr>
  </w:style>
  <w:style w:type="paragraph" w:styleId="7">
    <w:name w:val="caption"/>
    <w:basedOn w:val="1"/>
    <w:next w:val="1"/>
    <w:link w:val="27"/>
    <w:semiHidden/>
    <w:unhideWhenUsed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仿宋" w:cs="Arial Unicode MS"/>
      <w:b/>
      <w:kern w:val="0"/>
      <w:sz w:val="24"/>
    </w:rPr>
  </w:style>
  <w:style w:type="paragraph" w:styleId="8">
    <w:name w:val="Body Text"/>
    <w:basedOn w:val="1"/>
    <w:qFormat/>
    <w:uiPriority w:val="0"/>
    <w:pPr>
      <w:spacing w:line="300" w:lineRule="auto"/>
      <w:ind w:firstLine="964" w:firstLineChars="200"/>
    </w:pPr>
    <w:rPr>
      <w:rFonts w:ascii="宋体" w:hAnsi="宋体" w:cs="宋体"/>
      <w:sz w:val="28"/>
      <w:lang w:val="zh-CN" w:bidi="zh-CN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customStyle="1" w:styleId="15">
    <w:name w:val="表格"/>
    <w:basedOn w:val="1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/>
      <w:sz w:val="28"/>
      <w:szCs w:val="20"/>
    </w:rPr>
  </w:style>
  <w:style w:type="paragraph" w:customStyle="1" w:styleId="16">
    <w:name w:val="表格式样"/>
    <w:basedOn w:val="1"/>
    <w:qFormat/>
    <w:uiPriority w:val="0"/>
    <w:pPr>
      <w:spacing w:line="240" w:lineRule="atLeast"/>
      <w:ind w:firstLine="0" w:firstLineChars="0"/>
      <w:jc w:val="center"/>
    </w:pPr>
    <w:rPr>
      <w:rFonts w:hint="eastAsia" w:ascii="Times New Roman" w:hAnsi="Times New Roman" w:cstheme="minorBidi"/>
      <w:kern w:val="2"/>
      <w:sz w:val="21"/>
      <w:szCs w:val="18"/>
      <w:lang w:bidi="ar-SA"/>
    </w:rPr>
  </w:style>
  <w:style w:type="character" w:customStyle="1" w:styleId="17">
    <w:name w:val="表格式样 Char"/>
    <w:link w:val="18"/>
    <w:qFormat/>
    <w:uiPriority w:val="0"/>
    <w:rPr>
      <w:rFonts w:hint="eastAsia" w:ascii="Times New Roman" w:hAnsi="Times New Roman" w:eastAsia="仿宋_GB2312" w:cstheme="minorBidi"/>
      <w:kern w:val="2"/>
      <w:sz w:val="21"/>
      <w:szCs w:val="18"/>
      <w:lang w:bidi="ar-SA"/>
    </w:rPr>
  </w:style>
  <w:style w:type="paragraph" w:customStyle="1" w:styleId="18">
    <w:name w:val="表格格式"/>
    <w:basedOn w:val="1"/>
    <w:link w:val="17"/>
    <w:qFormat/>
    <w:uiPriority w:val="0"/>
    <w:pPr>
      <w:spacing w:line="240" w:lineRule="atLeast"/>
      <w:ind w:firstLine="0" w:firstLineChars="0"/>
      <w:jc w:val="center"/>
    </w:pPr>
    <w:rPr>
      <w:rFonts w:ascii="Times New Roman" w:hAnsi="Times New Roman" w:eastAsia="仿宋_GB2312"/>
      <w:sz w:val="21"/>
      <w:szCs w:val="18"/>
    </w:rPr>
  </w:style>
  <w:style w:type="paragraph" w:customStyle="1" w:styleId="19">
    <w:name w:val="表格标题"/>
    <w:basedOn w:val="1"/>
    <w:next w:val="9"/>
    <w:qFormat/>
    <w:uiPriority w:val="0"/>
    <w:pPr>
      <w:spacing w:line="360" w:lineRule="auto"/>
      <w:ind w:firstLine="0" w:firstLineChars="0"/>
      <w:jc w:val="center"/>
    </w:pPr>
    <w:rPr>
      <w:rFonts w:hint="eastAsia" w:eastAsia="宋体" w:cstheme="minorBidi"/>
      <w:sz w:val="28"/>
      <w:szCs w:val="18"/>
    </w:rPr>
  </w:style>
  <w:style w:type="paragraph" w:customStyle="1" w:styleId="20">
    <w:name w:val="图"/>
    <w:basedOn w:val="1"/>
    <w:link w:val="21"/>
    <w:qFormat/>
    <w:uiPriority w:val="0"/>
    <w:pPr>
      <w:snapToGrid w:val="0"/>
      <w:spacing w:line="240" w:lineRule="atLeast"/>
      <w:ind w:firstLine="0" w:firstLineChars="0"/>
      <w:jc w:val="center"/>
    </w:pPr>
    <w:rPr>
      <w:rFonts w:ascii="Times New Roman" w:hAnsi="Times New Roman" w:cs="Times New Roman"/>
      <w:kern w:val="2"/>
      <w:sz w:val="21"/>
      <w:szCs w:val="28"/>
      <w:lang w:bidi="ar-SA"/>
    </w:rPr>
  </w:style>
  <w:style w:type="character" w:customStyle="1" w:styleId="21">
    <w:name w:val="图 Char"/>
    <w:link w:val="20"/>
    <w:qFormat/>
    <w:uiPriority w:val="0"/>
    <w:rPr>
      <w:rFonts w:ascii="Times New Roman" w:hAnsi="Times New Roman" w:eastAsia="仿宋_GB2312" w:cs="Times New Roman"/>
      <w:kern w:val="2"/>
      <w:sz w:val="21"/>
      <w:szCs w:val="28"/>
      <w:lang w:bidi="ar-SA"/>
    </w:rPr>
  </w:style>
  <w:style w:type="paragraph" w:customStyle="1" w:styleId="22">
    <w:name w:val="表格样式"/>
    <w:basedOn w:val="1"/>
    <w:next w:val="1"/>
    <w:qFormat/>
    <w:uiPriority w:val="0"/>
    <w:pPr>
      <w:spacing w:line="240" w:lineRule="atLeast"/>
      <w:jc w:val="center"/>
    </w:pPr>
    <w:rPr>
      <w:rFonts w:hint="eastAsia" w:ascii="宋体" w:hAnsi="宋体" w:eastAsia="宋体" w:cs="宋体"/>
      <w:color w:val="auto"/>
      <w:kern w:val="0"/>
      <w:sz w:val="24"/>
      <w:lang w:bidi="ar-SA"/>
    </w:rPr>
  </w:style>
  <w:style w:type="paragraph" w:customStyle="1" w:styleId="23">
    <w:name w:val="WPSOffice手动目录 1"/>
    <w:qFormat/>
    <w:uiPriority w:val="0"/>
    <w:pPr>
      <w:ind w:leftChars="0"/>
    </w:pPr>
    <w:rPr>
      <w:rFonts w:ascii="Times New Roman" w:hAnsi="Times New Roman" w:eastAsia="仿宋_GB2312" w:cstheme="minorBidi"/>
      <w:sz w:val="24"/>
      <w:szCs w:val="20"/>
    </w:rPr>
  </w:style>
  <w:style w:type="paragraph" w:customStyle="1" w:styleId="24">
    <w:name w:val="表格名"/>
    <w:basedOn w:val="1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黑体" w:cstheme="minorBidi"/>
      <w:b/>
      <w:sz w:val="28"/>
      <w:szCs w:val="22"/>
    </w:rPr>
  </w:style>
  <w:style w:type="paragraph" w:customStyle="1" w:styleId="25">
    <w:name w:val="图名"/>
    <w:basedOn w:val="1"/>
    <w:qFormat/>
    <w:uiPriority w:val="0"/>
    <w:pPr>
      <w:snapToGrid w:val="0"/>
      <w:ind w:firstLine="0" w:firstLineChars="0"/>
      <w:jc w:val="center"/>
    </w:pPr>
    <w:rPr>
      <w:rFonts w:ascii="Times New Roman" w:hAnsi="Times New Roman" w:eastAsia="黑体" w:cs="Times New Roman"/>
      <w:sz w:val="28"/>
      <w:szCs w:val="24"/>
    </w:rPr>
  </w:style>
  <w:style w:type="paragraph" w:customStyle="1" w:styleId="26">
    <w:name w:val="表图标题"/>
    <w:basedOn w:val="1"/>
    <w:next w:val="9"/>
    <w:qFormat/>
    <w:uiPriority w:val="0"/>
    <w:pPr>
      <w:spacing w:before="20" w:after="20" w:line="360" w:lineRule="auto"/>
      <w:ind w:firstLine="0" w:firstLineChars="0"/>
      <w:jc w:val="center"/>
    </w:pPr>
    <w:rPr>
      <w:rFonts w:hint="eastAsia" w:ascii="Times New Roman" w:hAnsi="Times New Roman" w:eastAsia="黑体" w:cstheme="minorBidi"/>
      <w:sz w:val="21"/>
      <w:szCs w:val="18"/>
      <w:lang w:eastAsia="en-US"/>
    </w:rPr>
  </w:style>
  <w:style w:type="character" w:customStyle="1" w:styleId="27">
    <w:name w:val="题注 Char"/>
    <w:link w:val="7"/>
    <w:qFormat/>
    <w:uiPriority w:val="0"/>
    <w:rPr>
      <w:rFonts w:ascii="Times New Roman" w:hAnsi="Times New Roman" w:eastAsia="仿宋" w:cs="Arial Unicode MS"/>
      <w:b/>
      <w:kern w:val="0"/>
      <w:sz w:val="24"/>
    </w:rPr>
  </w:style>
  <w:style w:type="character" w:customStyle="1" w:styleId="28">
    <w:name w:val="标题 1 Char"/>
    <w:link w:val="2"/>
    <w:qFormat/>
    <w:uiPriority w:val="0"/>
    <w:rPr>
      <w:rFonts w:hint="eastAsia" w:ascii="Times New Roman" w:hAnsi="Times New Roman" w:eastAsia="仿宋_GB2312" w:cs="Times New Roman"/>
      <w:b/>
      <w:bCs/>
      <w:kern w:val="44"/>
      <w:sz w:val="32"/>
      <w:szCs w:val="48"/>
      <w:lang w:eastAsia="zh-CN"/>
    </w:rPr>
  </w:style>
  <w:style w:type="paragraph" w:customStyle="1" w:styleId="29">
    <w:name w:val="样式1"/>
    <w:basedOn w:val="1"/>
    <w:qFormat/>
    <w:uiPriority w:val="0"/>
    <w:pPr>
      <w:spacing w:line="240" w:lineRule="atLeast"/>
      <w:ind w:firstLine="0" w:firstLineChars="0"/>
      <w:jc w:val="center"/>
    </w:pPr>
    <w:rPr>
      <w:sz w:val="21"/>
    </w:rPr>
  </w:style>
  <w:style w:type="paragraph" w:customStyle="1" w:styleId="30">
    <w:name w:val="表格1"/>
    <w:basedOn w:val="1"/>
    <w:next w:val="1"/>
    <w:qFormat/>
    <w:uiPriority w:val="0"/>
    <w:pPr>
      <w:spacing w:line="240" w:lineRule="atLeast"/>
      <w:ind w:firstLine="0" w:firstLineChars="0"/>
      <w:jc w:val="center"/>
    </w:pPr>
    <w:rPr>
      <w:sz w:val="21"/>
    </w:rPr>
  </w:style>
  <w:style w:type="character" w:customStyle="1" w:styleId="31">
    <w:name w:val="标题 3 字符"/>
    <w:link w:val="4"/>
    <w:semiHidden/>
    <w:qFormat/>
    <w:uiPriority w:val="0"/>
    <w:rPr>
      <w:rFonts w:eastAsia="宋体"/>
      <w:b/>
      <w:bCs/>
      <w:kern w:val="2"/>
      <w:sz w:val="28"/>
      <w:szCs w:val="32"/>
    </w:rPr>
  </w:style>
  <w:style w:type="character" w:customStyle="1" w:styleId="32">
    <w:name w:val="标题 2 字符"/>
    <w:link w:val="3"/>
    <w:qFormat/>
    <w:uiPriority w:val="0"/>
    <w:rPr>
      <w:rFonts w:ascii="Times New Roman" w:hAnsi="Times New Roman" w:eastAsia="黑体"/>
      <w:bCs/>
      <w:kern w:val="2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971</Words>
  <Characters>1009</Characters>
  <Lines>0</Lines>
  <Paragraphs>0</Paragraphs>
  <TotalTime>25</TotalTime>
  <ScaleCrop>false</ScaleCrop>
  <LinksUpToDate>false</LinksUpToDate>
  <CharactersWithSpaces>1013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2022-04-27T16:30:00Z</dcterms:created>
  <dc:creator>hp</dc:creator>
  <cp:lastModifiedBy>董璐</cp:lastModifiedBy>
  <cp:lastPrinted>2024-07-08T00:45:09Z</cp:lastPrinted>
  <dcterms:modified xsi:type="dcterms:W3CDTF">2024-07-08T01:04:30Z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C379975632494B748B6E2971A0836F51_13</vt:lpwstr>
  </property>
</Properties>
</file>