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ind w:firstLine="3753" w:firstLineChars="1246"/>
        <w:rPr>
          <w:rFonts w:hint="eastAsia" w:ascii="Times New Roman" w:hAnsi="Times New Roman" w:eastAsia="宋体"/>
          <w:b/>
          <w:bCs/>
          <w:color w:val="auto"/>
          <w:sz w:val="30"/>
          <w:szCs w:val="30"/>
          <w:lang w:eastAsia="zh-CN"/>
        </w:rPr>
      </w:pPr>
      <w:r>
        <w:rPr>
          <w:rFonts w:hint="eastAsia" w:ascii="Times New Roman" w:hAnsi="Times New Roman" w:eastAsia="宋体"/>
          <w:b/>
          <w:bCs/>
          <w:color w:val="auto"/>
          <w:sz w:val="30"/>
          <w:szCs w:val="30"/>
          <w:lang w:eastAsia="zh-CN"/>
        </w:rPr>
        <w:drawing>
          <wp:anchor distT="0" distB="0" distL="114300" distR="114300" simplePos="0" relativeHeight="251681792" behindDoc="0" locked="0" layoutInCell="1" allowOverlap="1">
            <wp:simplePos x="0" y="0"/>
            <wp:positionH relativeFrom="column">
              <wp:posOffset>-1083945</wp:posOffset>
            </wp:positionH>
            <wp:positionV relativeFrom="paragraph">
              <wp:posOffset>-898525</wp:posOffset>
            </wp:positionV>
            <wp:extent cx="7480300" cy="10577830"/>
            <wp:effectExtent l="0" t="0" r="6350" b="13970"/>
            <wp:wrapNone/>
            <wp:docPr id="39" name="图片 39" descr="公示稿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公示稿封面"/>
                    <pic:cNvPicPr>
                      <a:picLocks noChangeAspect="1"/>
                    </pic:cNvPicPr>
                  </pic:nvPicPr>
                  <pic:blipFill>
                    <a:blip r:embed="rId16"/>
                    <a:stretch>
                      <a:fillRect/>
                    </a:stretch>
                  </pic:blipFill>
                  <pic:spPr>
                    <a:xfrm>
                      <a:off x="0" y="0"/>
                      <a:ext cx="7480300" cy="10577830"/>
                    </a:xfrm>
                    <a:prstGeom prst="rect">
                      <a:avLst/>
                    </a:prstGeom>
                  </pic:spPr>
                </pic:pic>
              </a:graphicData>
            </a:graphic>
          </wp:anchor>
        </w:drawing>
      </w:r>
    </w:p>
    <w:p>
      <w:pPr>
        <w:rPr>
          <w:rFonts w:hint="eastAsia" w:ascii="Times New Roman" w:hAnsi="Times New Roman"/>
          <w:color w:val="auto"/>
        </w:rPr>
      </w:pPr>
    </w:p>
    <w:p>
      <w:pPr>
        <w:rPr>
          <w:rFonts w:ascii="Times New Roman" w:hAnsi="Times New Roman"/>
          <w:color w:val="auto"/>
        </w:rPr>
      </w:pPr>
      <w:r>
        <w:rPr>
          <w:rFonts w:ascii="Times New Roman" w:hAnsi="Times New Roman"/>
          <w:color w:val="auto"/>
        </w:rPr>
        <w:t xml:space="preserve"> </w:t>
      </w:r>
    </w:p>
    <w:p>
      <w:pPr>
        <w:rPr>
          <w:rFonts w:ascii="Times New Roman" w:hAnsi="Times New Roman"/>
          <w:color w:val="auto"/>
        </w:rPr>
      </w:pPr>
      <w:r>
        <w:rPr>
          <w:rFonts w:ascii="Times New Roman" w:hAnsi="Times New Roman"/>
          <w:color w:val="auto"/>
        </w:rPr>
        <w:t xml:space="preserve"> </w:t>
      </w:r>
    </w:p>
    <w:p>
      <w:pPr>
        <w:rPr>
          <w:rFonts w:ascii="Times New Roman" w:hAnsi="Times New Roman"/>
          <w:color w:val="auto"/>
        </w:rPr>
      </w:pPr>
      <w:r>
        <w:rPr>
          <w:rFonts w:ascii="Times New Roman" w:hAnsi="Times New Roman"/>
          <w:color w:val="auto"/>
        </w:rPr>
        <w:t xml:space="preserve"> </w:t>
      </w:r>
    </w:p>
    <w:p>
      <w:pPr>
        <w:rPr>
          <w:rFonts w:ascii="Times New Roman" w:hAnsi="Times New Roman"/>
          <w:color w:val="auto"/>
        </w:rPr>
      </w:pPr>
      <w:r>
        <w:rPr>
          <w:rFonts w:ascii="Times New Roman" w:hAnsi="Times New Roman"/>
          <w:color w:val="auto"/>
        </w:rPr>
        <w:t xml:space="preserve"> </w:t>
      </w:r>
    </w:p>
    <w:p>
      <w:pPr>
        <w:spacing w:line="240" w:lineRule="atLeast"/>
        <w:jc w:val="center"/>
        <w:rPr>
          <w:rFonts w:ascii="Times New Roman" w:hAnsi="Times New Roman" w:eastAsia="隶书"/>
          <w:color w:val="auto"/>
          <w:sz w:val="72"/>
          <w:szCs w:val="72"/>
        </w:rPr>
      </w:pPr>
      <w:r>
        <w:rPr>
          <w:rFonts w:ascii="Times New Roman" w:hAnsi="Times New Roman" w:eastAsia="隶书"/>
          <w:color w:val="auto"/>
          <w:sz w:val="72"/>
          <w:szCs w:val="72"/>
        </w:rPr>
        <w:t>建设项目环境影响报告表</w:t>
      </w:r>
    </w:p>
    <w:p>
      <w:pPr>
        <w:jc w:val="center"/>
        <w:rPr>
          <w:rFonts w:hint="eastAsia" w:ascii="Times New Roman" w:hAnsi="Times New Roman"/>
          <w:b/>
          <w:bCs/>
          <w:color w:val="auto"/>
          <w:sz w:val="44"/>
          <w:szCs w:val="44"/>
        </w:rPr>
      </w:pPr>
      <w:r>
        <w:rPr>
          <w:rFonts w:hint="eastAsia" w:ascii="Times New Roman" w:hAnsi="Times New Roman"/>
          <w:b/>
          <w:bCs/>
          <w:color w:val="auto"/>
          <w:sz w:val="44"/>
          <w:szCs w:val="44"/>
        </w:rPr>
        <w:t>（</w:t>
      </w:r>
      <w:r>
        <w:rPr>
          <w:rFonts w:hint="eastAsia" w:ascii="Times New Roman" w:hAnsi="Times New Roman"/>
          <w:b/>
          <w:bCs/>
          <w:color w:val="auto"/>
          <w:sz w:val="44"/>
          <w:szCs w:val="44"/>
          <w:lang w:eastAsia="zh-CN"/>
        </w:rPr>
        <w:t>公示</w:t>
      </w:r>
      <w:r>
        <w:rPr>
          <w:rFonts w:hint="eastAsia" w:ascii="Times New Roman" w:hAnsi="Times New Roman"/>
          <w:b/>
          <w:bCs/>
          <w:color w:val="auto"/>
          <w:sz w:val="44"/>
          <w:szCs w:val="44"/>
        </w:rPr>
        <w:t>稿）</w:t>
      </w:r>
    </w:p>
    <w:p>
      <w:pPr>
        <w:rPr>
          <w:rFonts w:ascii="Times New Roman" w:hAnsi="Times New Roman"/>
          <w:color w:val="auto"/>
        </w:rPr>
      </w:pPr>
      <w:r>
        <w:rPr>
          <w:rFonts w:ascii="Times New Roman" w:hAnsi="Times New Roman"/>
          <w:color w:val="auto"/>
        </w:rPr>
        <w:t xml:space="preserve"> </w:t>
      </w:r>
    </w:p>
    <w:p>
      <w:pPr>
        <w:rPr>
          <w:rFonts w:ascii="Times New Roman" w:hAnsi="Times New Roman"/>
          <w:color w:val="auto"/>
        </w:rPr>
      </w:pPr>
      <w:r>
        <w:rPr>
          <w:rFonts w:ascii="Times New Roman" w:hAnsi="Times New Roman"/>
          <w:color w:val="auto"/>
        </w:rPr>
        <w:t xml:space="preserve"> </w:t>
      </w:r>
    </w:p>
    <w:p>
      <w:pPr>
        <w:rPr>
          <w:rFonts w:ascii="Times New Roman" w:hAnsi="Times New Roman"/>
          <w:color w:val="auto"/>
        </w:rPr>
      </w:pPr>
      <w:r>
        <w:rPr>
          <w:rFonts w:ascii="Times New Roman" w:hAnsi="Times New Roman"/>
          <w:color w:val="auto"/>
        </w:rPr>
        <w:t xml:space="preserve"> </w:t>
      </w:r>
    </w:p>
    <w:p>
      <w:pPr>
        <w:rPr>
          <w:rFonts w:ascii="Times New Roman" w:hAnsi="Times New Roman"/>
          <w:color w:val="auto"/>
        </w:rPr>
      </w:pPr>
      <w:r>
        <w:rPr>
          <w:rFonts w:ascii="Times New Roman" w:hAnsi="Times New Roman"/>
          <w:color w:val="auto"/>
        </w:rPr>
        <w:t xml:space="preserve"> </w:t>
      </w:r>
    </w:p>
    <w:p>
      <w:pPr>
        <w:rPr>
          <w:rFonts w:ascii="Times New Roman" w:hAnsi="Times New Roman"/>
          <w:color w:val="auto"/>
        </w:rPr>
      </w:pPr>
      <w:r>
        <w:rPr>
          <w:rFonts w:ascii="Times New Roman" w:hAnsi="Times New Roman"/>
          <w:color w:val="auto"/>
        </w:rPr>
        <w:t xml:space="preserve"> </w:t>
      </w:r>
    </w:p>
    <w:p>
      <w:pPr>
        <w:rPr>
          <w:rFonts w:ascii="Times New Roman" w:hAnsi="Times New Roman"/>
          <w:color w:val="auto"/>
        </w:rPr>
      </w:pPr>
      <w:r>
        <w:rPr>
          <w:rFonts w:ascii="Times New Roman" w:hAnsi="Times New Roman"/>
          <w:color w:val="auto"/>
        </w:rPr>
        <w:t xml:space="preserve"> </w:t>
      </w:r>
    </w:p>
    <w:p>
      <w:pPr>
        <w:jc w:val="center"/>
        <w:rPr>
          <w:rFonts w:ascii="Times New Roman" w:hAnsi="Times New Roman"/>
          <w:b/>
          <w:bCs/>
          <w:color w:val="auto"/>
          <w:sz w:val="48"/>
          <w:szCs w:val="48"/>
        </w:rPr>
      </w:pPr>
      <w:r>
        <w:rPr>
          <w:rFonts w:ascii="Times New Roman" w:hAnsi="Times New Roman"/>
          <w:b/>
          <w:bCs/>
          <w:color w:val="auto"/>
          <w:sz w:val="32"/>
          <w:szCs w:val="32"/>
        </w:rPr>
        <w:t>项目名称：</w:t>
      </w:r>
      <w:r>
        <w:rPr>
          <w:rFonts w:hint="eastAsia" w:ascii="Times New Roman" w:hAnsi="Times New Roman"/>
          <w:b/>
          <w:bCs/>
          <w:color w:val="auto"/>
          <w:sz w:val="32"/>
          <w:szCs w:val="32"/>
          <w:u w:val="single"/>
        </w:rPr>
        <w:t>文昌气电π接220kV玉洲至江东线路新建工程</w:t>
      </w:r>
    </w:p>
    <w:p>
      <w:pPr>
        <w:spacing w:line="0" w:lineRule="atLeast"/>
        <w:rPr>
          <w:rFonts w:ascii="Times New Roman" w:hAnsi="Times New Roman"/>
          <w:color w:val="auto"/>
          <w:sz w:val="28"/>
          <w:szCs w:val="28"/>
        </w:rPr>
      </w:pPr>
      <w:r>
        <w:rPr>
          <w:rFonts w:ascii="Times New Roman" w:hAnsi="Times New Roman"/>
          <w:color w:val="auto"/>
          <w:sz w:val="28"/>
          <w:szCs w:val="28"/>
        </w:rPr>
        <w:t xml:space="preserve"> </w:t>
      </w:r>
    </w:p>
    <w:p>
      <w:pPr>
        <w:spacing w:line="0" w:lineRule="atLeast"/>
        <w:rPr>
          <w:rFonts w:ascii="Times New Roman" w:hAnsi="Times New Roman"/>
          <w:color w:val="auto"/>
          <w:sz w:val="28"/>
          <w:szCs w:val="28"/>
        </w:rPr>
      </w:pPr>
      <w:r>
        <w:rPr>
          <w:rFonts w:ascii="Times New Roman" w:hAnsi="Times New Roman"/>
          <w:color w:val="auto"/>
          <w:sz w:val="28"/>
          <w:szCs w:val="28"/>
        </w:rPr>
        <w:t xml:space="preserve"> </w:t>
      </w:r>
    </w:p>
    <w:p>
      <w:pPr>
        <w:spacing w:line="0" w:lineRule="atLeast"/>
        <w:ind w:firstLine="643" w:firstLineChars="200"/>
        <w:rPr>
          <w:rFonts w:ascii="Times New Roman" w:hAnsi="Times New Roman"/>
          <w:color w:val="auto"/>
          <w:sz w:val="28"/>
          <w:szCs w:val="28"/>
        </w:rPr>
      </w:pPr>
      <w:r>
        <w:rPr>
          <w:rFonts w:ascii="Times New Roman" w:hAnsi="Times New Roman"/>
          <w:b/>
          <w:bCs/>
          <w:color w:val="auto"/>
          <w:sz w:val="32"/>
          <w:szCs w:val="32"/>
        </w:rPr>
        <w:t>建设单位(盖章)</w:t>
      </w:r>
      <w:r>
        <w:rPr>
          <w:rFonts w:ascii="Times New Roman" w:hAnsi="Times New Roman"/>
          <w:color w:val="auto"/>
          <w:sz w:val="32"/>
          <w:szCs w:val="32"/>
        </w:rPr>
        <w:t xml:space="preserve"> </w:t>
      </w:r>
      <w:r>
        <w:rPr>
          <w:rFonts w:ascii="Times New Roman" w:hAnsi="Times New Roman"/>
          <w:b/>
          <w:bCs/>
          <w:color w:val="auto"/>
          <w:sz w:val="32"/>
          <w:szCs w:val="32"/>
          <w:u w:val="single"/>
        </w:rPr>
        <w:t xml:space="preserve"> </w:t>
      </w:r>
      <w:r>
        <w:rPr>
          <w:rFonts w:ascii="Times New Roman" w:hAnsi="Times New Roman"/>
          <w:b/>
          <w:bCs/>
          <w:color w:val="auto"/>
          <w:sz w:val="32"/>
          <w:szCs w:val="32"/>
          <w:u w:val="thick"/>
        </w:rPr>
        <w:t>海南电网有限责任公司建设分公司</w:t>
      </w:r>
    </w:p>
    <w:p>
      <w:pPr>
        <w:spacing w:line="0" w:lineRule="atLeast"/>
        <w:rPr>
          <w:rFonts w:ascii="Times New Roman" w:hAnsi="Times New Roman"/>
          <w:color w:val="auto"/>
          <w:sz w:val="24"/>
          <w:szCs w:val="24"/>
        </w:rPr>
      </w:pPr>
      <w:r>
        <w:rPr>
          <w:rFonts w:ascii="Times New Roman" w:hAnsi="Times New Roman"/>
          <w:color w:val="auto"/>
          <w:sz w:val="28"/>
          <w:szCs w:val="28"/>
        </w:rPr>
        <w:t xml:space="preserve"> </w:t>
      </w:r>
    </w:p>
    <w:p>
      <w:pPr>
        <w:spacing w:line="0" w:lineRule="atLeast"/>
        <w:rPr>
          <w:rFonts w:ascii="Times New Roman" w:hAnsi="Times New Roman"/>
          <w:color w:val="auto"/>
          <w:sz w:val="24"/>
          <w:szCs w:val="24"/>
        </w:rPr>
      </w:pPr>
      <w:r>
        <w:rPr>
          <w:rFonts w:ascii="Times New Roman" w:hAnsi="Times New Roman"/>
          <w:color w:val="auto"/>
          <w:sz w:val="24"/>
          <w:szCs w:val="24"/>
        </w:rPr>
        <w:t xml:space="preserve"> </w:t>
      </w:r>
    </w:p>
    <w:p>
      <w:pPr>
        <w:rPr>
          <w:rFonts w:ascii="Times New Roman" w:hAnsi="Times New Roman"/>
          <w:color w:val="auto"/>
          <w:sz w:val="24"/>
          <w:szCs w:val="24"/>
        </w:rPr>
      </w:pPr>
      <w:r>
        <w:rPr>
          <w:rFonts w:ascii="Times New Roman" w:hAnsi="Times New Roman"/>
          <w:color w:val="auto"/>
          <w:sz w:val="24"/>
          <w:szCs w:val="24"/>
        </w:rPr>
        <w:t xml:space="preserve"> </w:t>
      </w:r>
    </w:p>
    <w:p>
      <w:pPr>
        <w:rPr>
          <w:rFonts w:ascii="Times New Roman" w:hAnsi="Times New Roman"/>
          <w:color w:val="auto"/>
          <w:sz w:val="24"/>
          <w:szCs w:val="24"/>
        </w:rPr>
      </w:pPr>
      <w:r>
        <w:rPr>
          <w:rFonts w:ascii="Times New Roman" w:hAnsi="Times New Roman"/>
          <w:color w:val="auto"/>
          <w:sz w:val="24"/>
          <w:szCs w:val="24"/>
        </w:rPr>
        <w:t xml:space="preserve"> </w:t>
      </w:r>
    </w:p>
    <w:p>
      <w:pPr>
        <w:rPr>
          <w:rFonts w:ascii="Times New Roman" w:hAnsi="Times New Roman"/>
          <w:color w:val="auto"/>
          <w:sz w:val="24"/>
          <w:szCs w:val="24"/>
        </w:rPr>
      </w:pPr>
      <w:r>
        <w:rPr>
          <w:rFonts w:ascii="Times New Roman" w:hAnsi="Times New Roman"/>
          <w:color w:val="auto"/>
          <w:sz w:val="24"/>
          <w:szCs w:val="24"/>
        </w:rPr>
        <w:t xml:space="preserve"> </w:t>
      </w:r>
    </w:p>
    <w:p>
      <w:pPr>
        <w:rPr>
          <w:rFonts w:ascii="Times New Roman" w:hAnsi="Times New Roman"/>
          <w:color w:val="auto"/>
          <w:sz w:val="24"/>
          <w:szCs w:val="24"/>
        </w:rPr>
      </w:pPr>
      <w:r>
        <w:rPr>
          <w:rFonts w:ascii="Times New Roman" w:hAnsi="Times New Roman"/>
          <w:color w:val="auto"/>
          <w:sz w:val="24"/>
          <w:szCs w:val="24"/>
        </w:rPr>
        <w:t xml:space="preserve"> </w:t>
      </w:r>
    </w:p>
    <w:p>
      <w:pPr>
        <w:jc w:val="center"/>
        <w:rPr>
          <w:rFonts w:ascii="Times New Roman" w:hAnsi="Times New Roman"/>
          <w:b/>
          <w:bCs/>
          <w:color w:val="auto"/>
          <w:sz w:val="28"/>
          <w:szCs w:val="28"/>
        </w:rPr>
      </w:pPr>
      <w:r>
        <w:rPr>
          <w:rFonts w:ascii="Times New Roman" w:hAnsi="Times New Roman"/>
          <w:b/>
          <w:bCs/>
          <w:color w:val="auto"/>
          <w:sz w:val="28"/>
          <w:szCs w:val="28"/>
        </w:rPr>
        <w:t xml:space="preserve"> </w:t>
      </w:r>
    </w:p>
    <w:p>
      <w:pPr>
        <w:spacing w:line="360" w:lineRule="auto"/>
        <w:ind w:firstLine="562"/>
        <w:jc w:val="center"/>
        <w:rPr>
          <w:rFonts w:hint="eastAsia" w:ascii="Times New Roman" w:hAnsi="Times New Roman" w:eastAsia="宋体"/>
          <w:b/>
          <w:bCs/>
          <w:color w:val="auto"/>
          <w:sz w:val="28"/>
          <w:szCs w:val="28"/>
          <w:lang w:eastAsia="zh-CN"/>
        </w:rPr>
      </w:pPr>
      <w:r>
        <w:rPr>
          <w:rFonts w:ascii="Times New Roman" w:hAnsi="Times New Roman"/>
          <w:b/>
          <w:bCs/>
          <w:color w:val="auto"/>
          <w:sz w:val="28"/>
          <w:szCs w:val="28"/>
        </w:rPr>
        <w:t>编制单位：国电环境保护研究院</w:t>
      </w:r>
      <w:r>
        <w:rPr>
          <w:rFonts w:hint="eastAsia" w:ascii="Times New Roman" w:hAnsi="Times New Roman"/>
          <w:b/>
          <w:bCs/>
          <w:color w:val="auto"/>
          <w:sz w:val="28"/>
          <w:szCs w:val="28"/>
          <w:lang w:eastAsia="zh-CN"/>
        </w:rPr>
        <w:t>有限公司</w:t>
      </w:r>
    </w:p>
    <w:p>
      <w:pPr>
        <w:rPr>
          <w:rFonts w:hint="eastAsia" w:ascii="Times New Roman" w:hAnsi="Times New Roman"/>
          <w:b/>
          <w:bCs/>
          <w:color w:val="auto"/>
          <w:sz w:val="36"/>
          <w:szCs w:val="36"/>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bookmarkStart w:id="58" w:name="_GoBack"/>
      <w:bookmarkEnd w:id="58"/>
    </w:p>
    <w:p>
      <w:pPr>
        <w:widowControl/>
        <w:spacing w:line="360" w:lineRule="auto"/>
        <w:jc w:val="center"/>
        <w:rPr>
          <w:b/>
          <w:caps/>
          <w:color w:val="auto"/>
          <w:szCs w:val="22"/>
        </w:rPr>
      </w:pPr>
      <w:r>
        <w:rPr>
          <w:rFonts w:hint="eastAsia" w:ascii="Times New Roman" w:hAnsi="Times New Roman"/>
          <w:b/>
          <w:bCs/>
          <w:color w:val="auto"/>
          <w:kern w:val="0"/>
          <w:sz w:val="32"/>
          <w:szCs w:val="32"/>
        </w:rPr>
        <w:t>目  录</w:t>
      </w:r>
      <w:r>
        <w:rPr>
          <w:rFonts w:ascii="Times New Roman" w:hAnsi="Times New Roman"/>
          <w:b/>
          <w:color w:val="auto"/>
        </w:rPr>
        <w:fldChar w:fldCharType="begin"/>
      </w:r>
      <w:r>
        <w:rPr>
          <w:rFonts w:ascii="Times New Roman" w:hAnsi="Times New Roman"/>
          <w:b/>
          <w:color w:val="auto"/>
        </w:rPr>
        <w:instrText xml:space="preserve"> TOC \o "1-1" \h \z \u </w:instrText>
      </w:r>
      <w:r>
        <w:rPr>
          <w:rFonts w:ascii="Times New Roman" w:hAnsi="Times New Roman"/>
          <w:b/>
          <w:color w:val="auto"/>
        </w:rPr>
        <w:fldChar w:fldCharType="separate"/>
      </w:r>
    </w:p>
    <w:p>
      <w:pPr>
        <w:pStyle w:val="33"/>
        <w:spacing w:line="360" w:lineRule="auto"/>
        <w:rPr>
          <w:rFonts w:ascii="Calibri" w:hAnsi="Calibri" w:eastAsia="宋体"/>
          <w:caps w:val="0"/>
          <w:color w:val="auto"/>
          <w:sz w:val="21"/>
          <w:szCs w:val="22"/>
          <w:lang w:val="en-US" w:eastAsia="zh-CN"/>
        </w:rPr>
      </w:pPr>
    </w:p>
    <w:p>
      <w:pPr>
        <w:pStyle w:val="33"/>
        <w:spacing w:line="360" w:lineRule="auto"/>
        <w:rPr>
          <w:rFonts w:ascii="Calibri" w:hAnsi="Calibri" w:eastAsia="宋体"/>
          <w:caps w:val="0"/>
          <w:color w:val="auto"/>
          <w:sz w:val="21"/>
          <w:szCs w:val="22"/>
          <w:lang w:val="en-US" w:eastAsia="zh-CN"/>
        </w:rPr>
      </w:pPr>
      <w:r>
        <w:rPr>
          <w:rFonts w:eastAsia="宋体"/>
          <w:color w:val="auto"/>
        </w:rPr>
        <w:fldChar w:fldCharType="begin"/>
      </w:r>
      <w:r>
        <w:rPr>
          <w:rStyle w:val="48"/>
          <w:rFonts w:eastAsia="宋体"/>
          <w:color w:val="auto"/>
        </w:rPr>
        <w:instrText xml:space="preserve"> </w:instrText>
      </w:r>
      <w:r>
        <w:rPr>
          <w:rFonts w:eastAsia="宋体"/>
          <w:color w:val="auto"/>
        </w:rPr>
        <w:instrText xml:space="preserve">HYPERLINK \l "_Toc522457747"</w:instrText>
      </w:r>
      <w:r>
        <w:rPr>
          <w:rStyle w:val="48"/>
          <w:rFonts w:eastAsia="宋体"/>
          <w:color w:val="auto"/>
        </w:rPr>
        <w:instrText xml:space="preserve"> </w:instrText>
      </w:r>
      <w:r>
        <w:rPr>
          <w:rFonts w:eastAsia="宋体"/>
          <w:color w:val="auto"/>
        </w:rPr>
        <w:fldChar w:fldCharType="separate"/>
      </w:r>
      <w:r>
        <w:rPr>
          <w:rStyle w:val="48"/>
          <w:rFonts w:eastAsia="宋体"/>
          <w:color w:val="auto"/>
        </w:rPr>
        <w:t>1</w:t>
      </w:r>
      <w:r>
        <w:rPr>
          <w:rStyle w:val="48"/>
          <w:rFonts w:hint="eastAsia" w:eastAsia="宋体"/>
          <w:color w:val="auto"/>
        </w:rPr>
        <w:t>建设项目基本情况</w:t>
      </w:r>
      <w:r>
        <w:rPr>
          <w:rFonts w:eastAsia="宋体"/>
          <w:color w:val="auto"/>
        </w:rPr>
        <w:tab/>
      </w:r>
      <w:r>
        <w:rPr>
          <w:rFonts w:eastAsia="宋体"/>
          <w:color w:val="auto"/>
        </w:rPr>
        <w:fldChar w:fldCharType="begin"/>
      </w:r>
      <w:r>
        <w:rPr>
          <w:rFonts w:eastAsia="宋体"/>
          <w:color w:val="auto"/>
        </w:rPr>
        <w:instrText xml:space="preserve"> PAGEREF _Toc522457747 \h </w:instrText>
      </w:r>
      <w:r>
        <w:rPr>
          <w:rFonts w:eastAsia="宋体"/>
          <w:color w:val="auto"/>
        </w:rPr>
        <w:fldChar w:fldCharType="separate"/>
      </w:r>
      <w:r>
        <w:rPr>
          <w:rFonts w:eastAsia="宋体"/>
          <w:color w:val="auto"/>
        </w:rPr>
        <w:t>1</w:t>
      </w:r>
      <w:r>
        <w:rPr>
          <w:rFonts w:eastAsia="宋体"/>
          <w:color w:val="auto"/>
        </w:rPr>
        <w:fldChar w:fldCharType="end"/>
      </w:r>
      <w:r>
        <w:rPr>
          <w:rFonts w:eastAsia="宋体"/>
          <w:color w:val="auto"/>
        </w:rPr>
        <w:fldChar w:fldCharType="end"/>
      </w:r>
    </w:p>
    <w:p>
      <w:pPr>
        <w:pStyle w:val="33"/>
        <w:spacing w:line="360" w:lineRule="auto"/>
        <w:rPr>
          <w:rFonts w:ascii="Calibri" w:hAnsi="Calibri" w:eastAsia="宋体"/>
          <w:caps w:val="0"/>
          <w:color w:val="auto"/>
          <w:sz w:val="21"/>
          <w:szCs w:val="22"/>
          <w:lang w:val="en-US" w:eastAsia="zh-CN"/>
        </w:rPr>
      </w:pPr>
      <w:r>
        <w:rPr>
          <w:rFonts w:eastAsia="宋体"/>
          <w:color w:val="auto"/>
        </w:rPr>
        <w:fldChar w:fldCharType="begin"/>
      </w:r>
      <w:r>
        <w:rPr>
          <w:rStyle w:val="48"/>
          <w:rFonts w:eastAsia="宋体"/>
          <w:color w:val="auto"/>
        </w:rPr>
        <w:instrText xml:space="preserve"> </w:instrText>
      </w:r>
      <w:r>
        <w:rPr>
          <w:rFonts w:eastAsia="宋体"/>
          <w:color w:val="auto"/>
        </w:rPr>
        <w:instrText xml:space="preserve">HYPERLINK \l "_Toc522457748"</w:instrText>
      </w:r>
      <w:r>
        <w:rPr>
          <w:rStyle w:val="48"/>
          <w:rFonts w:eastAsia="宋体"/>
          <w:color w:val="auto"/>
        </w:rPr>
        <w:instrText xml:space="preserve"> </w:instrText>
      </w:r>
      <w:r>
        <w:rPr>
          <w:rFonts w:eastAsia="宋体"/>
          <w:color w:val="auto"/>
        </w:rPr>
        <w:fldChar w:fldCharType="separate"/>
      </w:r>
      <w:r>
        <w:rPr>
          <w:rStyle w:val="48"/>
          <w:rFonts w:eastAsia="宋体"/>
          <w:color w:val="auto"/>
        </w:rPr>
        <w:t>2</w:t>
      </w:r>
      <w:r>
        <w:rPr>
          <w:rStyle w:val="48"/>
          <w:rFonts w:hint="eastAsia" w:eastAsia="宋体"/>
          <w:color w:val="auto"/>
        </w:rPr>
        <w:t>建设项目所在地自然环境简况</w:t>
      </w:r>
      <w:r>
        <w:rPr>
          <w:rFonts w:eastAsia="宋体"/>
          <w:color w:val="auto"/>
        </w:rPr>
        <w:tab/>
      </w:r>
      <w:r>
        <w:rPr>
          <w:rFonts w:eastAsia="宋体"/>
          <w:color w:val="auto"/>
        </w:rPr>
        <w:fldChar w:fldCharType="begin"/>
      </w:r>
      <w:r>
        <w:rPr>
          <w:rFonts w:eastAsia="宋体"/>
          <w:color w:val="auto"/>
        </w:rPr>
        <w:instrText xml:space="preserve"> PAGEREF _Toc522457748 \h </w:instrText>
      </w:r>
      <w:r>
        <w:rPr>
          <w:rFonts w:eastAsia="宋体"/>
          <w:color w:val="auto"/>
        </w:rPr>
        <w:fldChar w:fldCharType="separate"/>
      </w:r>
      <w:r>
        <w:rPr>
          <w:rFonts w:eastAsia="宋体"/>
          <w:color w:val="auto"/>
        </w:rPr>
        <w:t>12</w:t>
      </w:r>
      <w:r>
        <w:rPr>
          <w:rFonts w:eastAsia="宋体"/>
          <w:color w:val="auto"/>
        </w:rPr>
        <w:fldChar w:fldCharType="end"/>
      </w:r>
      <w:r>
        <w:rPr>
          <w:rFonts w:eastAsia="宋体"/>
          <w:color w:val="auto"/>
        </w:rPr>
        <w:fldChar w:fldCharType="end"/>
      </w:r>
    </w:p>
    <w:p>
      <w:pPr>
        <w:pStyle w:val="33"/>
        <w:spacing w:line="360" w:lineRule="auto"/>
        <w:rPr>
          <w:rFonts w:ascii="Calibri" w:hAnsi="Calibri" w:eastAsia="宋体"/>
          <w:caps w:val="0"/>
          <w:color w:val="auto"/>
          <w:sz w:val="21"/>
          <w:szCs w:val="22"/>
          <w:lang w:val="en-US" w:eastAsia="zh-CN"/>
        </w:rPr>
      </w:pPr>
      <w:r>
        <w:rPr>
          <w:rFonts w:eastAsia="宋体"/>
          <w:color w:val="auto"/>
        </w:rPr>
        <w:fldChar w:fldCharType="begin"/>
      </w:r>
      <w:r>
        <w:rPr>
          <w:rStyle w:val="48"/>
          <w:rFonts w:eastAsia="宋体"/>
          <w:color w:val="auto"/>
        </w:rPr>
        <w:instrText xml:space="preserve"> </w:instrText>
      </w:r>
      <w:r>
        <w:rPr>
          <w:rFonts w:eastAsia="宋体"/>
          <w:color w:val="auto"/>
        </w:rPr>
        <w:instrText xml:space="preserve">HYPERLINK \l "_Toc522457749"</w:instrText>
      </w:r>
      <w:r>
        <w:rPr>
          <w:rStyle w:val="48"/>
          <w:rFonts w:eastAsia="宋体"/>
          <w:color w:val="auto"/>
        </w:rPr>
        <w:instrText xml:space="preserve"> </w:instrText>
      </w:r>
      <w:r>
        <w:rPr>
          <w:rFonts w:eastAsia="宋体"/>
          <w:color w:val="auto"/>
        </w:rPr>
        <w:fldChar w:fldCharType="separate"/>
      </w:r>
      <w:r>
        <w:rPr>
          <w:rStyle w:val="48"/>
          <w:rFonts w:eastAsia="宋体"/>
          <w:color w:val="auto"/>
        </w:rPr>
        <w:t>3</w:t>
      </w:r>
      <w:r>
        <w:rPr>
          <w:rStyle w:val="48"/>
          <w:rFonts w:hint="eastAsia" w:eastAsia="宋体"/>
          <w:color w:val="auto"/>
        </w:rPr>
        <w:t>环境质量现状</w:t>
      </w:r>
      <w:r>
        <w:rPr>
          <w:rFonts w:eastAsia="宋体"/>
          <w:color w:val="auto"/>
        </w:rPr>
        <w:tab/>
      </w:r>
      <w:r>
        <w:rPr>
          <w:rFonts w:eastAsia="宋体"/>
          <w:color w:val="auto"/>
        </w:rPr>
        <w:fldChar w:fldCharType="begin"/>
      </w:r>
      <w:r>
        <w:rPr>
          <w:rFonts w:eastAsia="宋体"/>
          <w:color w:val="auto"/>
        </w:rPr>
        <w:instrText xml:space="preserve"> PAGEREF _Toc522457749 \h </w:instrText>
      </w:r>
      <w:r>
        <w:rPr>
          <w:rFonts w:eastAsia="宋体"/>
          <w:color w:val="auto"/>
        </w:rPr>
        <w:fldChar w:fldCharType="separate"/>
      </w:r>
      <w:r>
        <w:rPr>
          <w:rFonts w:eastAsia="宋体"/>
          <w:color w:val="auto"/>
        </w:rPr>
        <w:t>19</w:t>
      </w:r>
      <w:r>
        <w:rPr>
          <w:rFonts w:eastAsia="宋体"/>
          <w:color w:val="auto"/>
        </w:rPr>
        <w:fldChar w:fldCharType="end"/>
      </w:r>
      <w:r>
        <w:rPr>
          <w:rFonts w:eastAsia="宋体"/>
          <w:color w:val="auto"/>
        </w:rPr>
        <w:fldChar w:fldCharType="end"/>
      </w:r>
    </w:p>
    <w:p>
      <w:pPr>
        <w:pStyle w:val="33"/>
        <w:spacing w:line="360" w:lineRule="auto"/>
        <w:rPr>
          <w:rFonts w:ascii="Calibri" w:hAnsi="Calibri" w:eastAsia="宋体"/>
          <w:caps w:val="0"/>
          <w:color w:val="auto"/>
          <w:sz w:val="21"/>
          <w:szCs w:val="22"/>
          <w:lang w:val="en-US" w:eastAsia="zh-CN"/>
        </w:rPr>
      </w:pPr>
      <w:r>
        <w:rPr>
          <w:rFonts w:eastAsia="宋体"/>
          <w:color w:val="auto"/>
        </w:rPr>
        <w:fldChar w:fldCharType="begin"/>
      </w:r>
      <w:r>
        <w:rPr>
          <w:rStyle w:val="48"/>
          <w:rFonts w:eastAsia="宋体"/>
          <w:color w:val="auto"/>
        </w:rPr>
        <w:instrText xml:space="preserve"> </w:instrText>
      </w:r>
      <w:r>
        <w:rPr>
          <w:rFonts w:eastAsia="宋体"/>
          <w:color w:val="auto"/>
        </w:rPr>
        <w:instrText xml:space="preserve">HYPERLINK \l "_Toc522457750"</w:instrText>
      </w:r>
      <w:r>
        <w:rPr>
          <w:rStyle w:val="48"/>
          <w:rFonts w:eastAsia="宋体"/>
          <w:color w:val="auto"/>
        </w:rPr>
        <w:instrText xml:space="preserve"> </w:instrText>
      </w:r>
      <w:r>
        <w:rPr>
          <w:rFonts w:eastAsia="宋体"/>
          <w:color w:val="auto"/>
        </w:rPr>
        <w:fldChar w:fldCharType="separate"/>
      </w:r>
      <w:r>
        <w:rPr>
          <w:rStyle w:val="48"/>
          <w:rFonts w:eastAsia="宋体"/>
          <w:color w:val="auto"/>
        </w:rPr>
        <w:t>4</w:t>
      </w:r>
      <w:r>
        <w:rPr>
          <w:rStyle w:val="48"/>
          <w:rFonts w:hint="eastAsia" w:eastAsia="宋体"/>
          <w:color w:val="auto"/>
        </w:rPr>
        <w:t>评价适用标准</w:t>
      </w:r>
      <w:r>
        <w:rPr>
          <w:rFonts w:eastAsia="宋体"/>
          <w:color w:val="auto"/>
        </w:rPr>
        <w:tab/>
      </w:r>
      <w:r>
        <w:rPr>
          <w:rFonts w:eastAsia="宋体"/>
          <w:color w:val="auto"/>
        </w:rPr>
        <w:fldChar w:fldCharType="begin"/>
      </w:r>
      <w:r>
        <w:rPr>
          <w:rFonts w:eastAsia="宋体"/>
          <w:color w:val="auto"/>
        </w:rPr>
        <w:instrText xml:space="preserve"> PAGEREF _Toc522457750 \h </w:instrText>
      </w:r>
      <w:r>
        <w:rPr>
          <w:rFonts w:eastAsia="宋体"/>
          <w:color w:val="auto"/>
        </w:rPr>
        <w:fldChar w:fldCharType="separate"/>
      </w:r>
      <w:r>
        <w:rPr>
          <w:rFonts w:eastAsia="宋体"/>
          <w:color w:val="auto"/>
        </w:rPr>
        <w:t>28</w:t>
      </w:r>
      <w:r>
        <w:rPr>
          <w:rFonts w:eastAsia="宋体"/>
          <w:color w:val="auto"/>
        </w:rPr>
        <w:fldChar w:fldCharType="end"/>
      </w:r>
      <w:r>
        <w:rPr>
          <w:rFonts w:eastAsia="宋体"/>
          <w:color w:val="auto"/>
        </w:rPr>
        <w:fldChar w:fldCharType="end"/>
      </w:r>
    </w:p>
    <w:p>
      <w:pPr>
        <w:pStyle w:val="33"/>
        <w:spacing w:line="360" w:lineRule="auto"/>
        <w:rPr>
          <w:rFonts w:ascii="Calibri" w:hAnsi="Calibri" w:eastAsia="宋体"/>
          <w:caps w:val="0"/>
          <w:color w:val="auto"/>
          <w:sz w:val="21"/>
          <w:szCs w:val="22"/>
          <w:lang w:val="en-US" w:eastAsia="zh-CN"/>
        </w:rPr>
      </w:pPr>
      <w:r>
        <w:rPr>
          <w:rFonts w:eastAsia="宋体"/>
          <w:color w:val="auto"/>
        </w:rPr>
        <w:fldChar w:fldCharType="begin"/>
      </w:r>
      <w:r>
        <w:rPr>
          <w:rStyle w:val="48"/>
          <w:rFonts w:eastAsia="宋体"/>
          <w:color w:val="auto"/>
        </w:rPr>
        <w:instrText xml:space="preserve"> </w:instrText>
      </w:r>
      <w:r>
        <w:rPr>
          <w:rFonts w:eastAsia="宋体"/>
          <w:color w:val="auto"/>
        </w:rPr>
        <w:instrText xml:space="preserve">HYPERLINK \l "_Toc522457751"</w:instrText>
      </w:r>
      <w:r>
        <w:rPr>
          <w:rStyle w:val="48"/>
          <w:rFonts w:eastAsia="宋体"/>
          <w:color w:val="auto"/>
        </w:rPr>
        <w:instrText xml:space="preserve"> </w:instrText>
      </w:r>
      <w:r>
        <w:rPr>
          <w:rFonts w:eastAsia="宋体"/>
          <w:color w:val="auto"/>
        </w:rPr>
        <w:fldChar w:fldCharType="separate"/>
      </w:r>
      <w:r>
        <w:rPr>
          <w:rStyle w:val="48"/>
          <w:rFonts w:eastAsia="宋体"/>
          <w:color w:val="auto"/>
        </w:rPr>
        <w:t>5</w:t>
      </w:r>
      <w:r>
        <w:rPr>
          <w:rStyle w:val="48"/>
          <w:rFonts w:hint="eastAsia" w:eastAsia="宋体"/>
          <w:color w:val="auto"/>
        </w:rPr>
        <w:t>建设项目工程分析</w:t>
      </w:r>
      <w:r>
        <w:rPr>
          <w:rFonts w:eastAsia="宋体"/>
          <w:color w:val="auto"/>
        </w:rPr>
        <w:tab/>
      </w:r>
      <w:r>
        <w:rPr>
          <w:rFonts w:eastAsia="宋体"/>
          <w:color w:val="auto"/>
        </w:rPr>
        <w:fldChar w:fldCharType="begin"/>
      </w:r>
      <w:r>
        <w:rPr>
          <w:rFonts w:eastAsia="宋体"/>
          <w:color w:val="auto"/>
        </w:rPr>
        <w:instrText xml:space="preserve"> PAGEREF _Toc522457751 \h </w:instrText>
      </w:r>
      <w:r>
        <w:rPr>
          <w:rFonts w:eastAsia="宋体"/>
          <w:color w:val="auto"/>
        </w:rPr>
        <w:fldChar w:fldCharType="separate"/>
      </w:r>
      <w:r>
        <w:rPr>
          <w:rFonts w:eastAsia="宋体"/>
          <w:color w:val="auto"/>
        </w:rPr>
        <w:t>29</w:t>
      </w:r>
      <w:r>
        <w:rPr>
          <w:rFonts w:eastAsia="宋体"/>
          <w:color w:val="auto"/>
        </w:rPr>
        <w:fldChar w:fldCharType="end"/>
      </w:r>
      <w:r>
        <w:rPr>
          <w:rFonts w:eastAsia="宋体"/>
          <w:color w:val="auto"/>
        </w:rPr>
        <w:fldChar w:fldCharType="end"/>
      </w:r>
    </w:p>
    <w:p>
      <w:pPr>
        <w:pStyle w:val="33"/>
        <w:spacing w:line="360" w:lineRule="auto"/>
        <w:rPr>
          <w:rFonts w:ascii="Calibri" w:hAnsi="Calibri" w:eastAsia="宋体"/>
          <w:caps w:val="0"/>
          <w:color w:val="auto"/>
          <w:sz w:val="21"/>
          <w:szCs w:val="22"/>
          <w:lang w:val="en-US" w:eastAsia="zh-CN"/>
        </w:rPr>
      </w:pPr>
      <w:r>
        <w:rPr>
          <w:rFonts w:eastAsia="宋体"/>
          <w:color w:val="auto"/>
        </w:rPr>
        <w:fldChar w:fldCharType="begin"/>
      </w:r>
      <w:r>
        <w:rPr>
          <w:rStyle w:val="48"/>
          <w:rFonts w:eastAsia="宋体"/>
          <w:color w:val="auto"/>
        </w:rPr>
        <w:instrText xml:space="preserve"> </w:instrText>
      </w:r>
      <w:r>
        <w:rPr>
          <w:rFonts w:eastAsia="宋体"/>
          <w:color w:val="auto"/>
        </w:rPr>
        <w:instrText xml:space="preserve">HYPERLINK \l "_Toc522457752"</w:instrText>
      </w:r>
      <w:r>
        <w:rPr>
          <w:rStyle w:val="48"/>
          <w:rFonts w:eastAsia="宋体"/>
          <w:color w:val="auto"/>
        </w:rPr>
        <w:instrText xml:space="preserve"> </w:instrText>
      </w:r>
      <w:r>
        <w:rPr>
          <w:rFonts w:eastAsia="宋体"/>
          <w:color w:val="auto"/>
        </w:rPr>
        <w:fldChar w:fldCharType="separate"/>
      </w:r>
      <w:r>
        <w:rPr>
          <w:rStyle w:val="48"/>
          <w:rFonts w:eastAsia="宋体"/>
          <w:color w:val="auto"/>
        </w:rPr>
        <w:t>6</w:t>
      </w:r>
      <w:r>
        <w:rPr>
          <w:rStyle w:val="48"/>
          <w:rFonts w:hint="eastAsia" w:eastAsia="宋体"/>
          <w:color w:val="auto"/>
        </w:rPr>
        <w:t>项目主要污染物产生及预计排放情况</w:t>
      </w:r>
      <w:r>
        <w:rPr>
          <w:rFonts w:eastAsia="宋体"/>
          <w:color w:val="auto"/>
        </w:rPr>
        <w:tab/>
      </w:r>
      <w:r>
        <w:rPr>
          <w:rFonts w:eastAsia="宋体"/>
          <w:color w:val="auto"/>
        </w:rPr>
        <w:fldChar w:fldCharType="begin"/>
      </w:r>
      <w:r>
        <w:rPr>
          <w:rFonts w:eastAsia="宋体"/>
          <w:color w:val="auto"/>
        </w:rPr>
        <w:instrText xml:space="preserve"> PAGEREF _Toc522457752 \h </w:instrText>
      </w:r>
      <w:r>
        <w:rPr>
          <w:rFonts w:eastAsia="宋体"/>
          <w:color w:val="auto"/>
        </w:rPr>
        <w:fldChar w:fldCharType="separate"/>
      </w:r>
      <w:r>
        <w:rPr>
          <w:rFonts w:eastAsia="宋体"/>
          <w:color w:val="auto"/>
        </w:rPr>
        <w:t>34</w:t>
      </w:r>
      <w:r>
        <w:rPr>
          <w:rFonts w:eastAsia="宋体"/>
          <w:color w:val="auto"/>
        </w:rPr>
        <w:fldChar w:fldCharType="end"/>
      </w:r>
      <w:r>
        <w:rPr>
          <w:rFonts w:eastAsia="宋体"/>
          <w:color w:val="auto"/>
        </w:rPr>
        <w:fldChar w:fldCharType="end"/>
      </w:r>
    </w:p>
    <w:p>
      <w:pPr>
        <w:pStyle w:val="33"/>
        <w:spacing w:line="360" w:lineRule="auto"/>
        <w:rPr>
          <w:rFonts w:ascii="Calibri" w:hAnsi="Calibri" w:eastAsia="宋体"/>
          <w:caps w:val="0"/>
          <w:color w:val="auto"/>
          <w:sz w:val="21"/>
          <w:szCs w:val="22"/>
          <w:lang w:val="en-US" w:eastAsia="zh-CN"/>
        </w:rPr>
      </w:pPr>
      <w:r>
        <w:rPr>
          <w:rFonts w:eastAsia="宋体"/>
          <w:color w:val="auto"/>
        </w:rPr>
        <w:fldChar w:fldCharType="begin"/>
      </w:r>
      <w:r>
        <w:rPr>
          <w:rStyle w:val="48"/>
          <w:rFonts w:eastAsia="宋体"/>
          <w:color w:val="auto"/>
        </w:rPr>
        <w:instrText xml:space="preserve"> </w:instrText>
      </w:r>
      <w:r>
        <w:rPr>
          <w:rFonts w:eastAsia="宋体"/>
          <w:color w:val="auto"/>
        </w:rPr>
        <w:instrText xml:space="preserve">HYPERLINK \l "_Toc522457753"</w:instrText>
      </w:r>
      <w:r>
        <w:rPr>
          <w:rStyle w:val="48"/>
          <w:rFonts w:eastAsia="宋体"/>
          <w:color w:val="auto"/>
        </w:rPr>
        <w:instrText xml:space="preserve"> </w:instrText>
      </w:r>
      <w:r>
        <w:rPr>
          <w:rFonts w:eastAsia="宋体"/>
          <w:color w:val="auto"/>
        </w:rPr>
        <w:fldChar w:fldCharType="separate"/>
      </w:r>
      <w:r>
        <w:rPr>
          <w:rStyle w:val="48"/>
          <w:rFonts w:eastAsia="宋体"/>
          <w:bCs/>
          <w:color w:val="auto"/>
          <w:kern w:val="44"/>
        </w:rPr>
        <w:t>7</w:t>
      </w:r>
      <w:r>
        <w:rPr>
          <w:rStyle w:val="48"/>
          <w:rFonts w:hint="eastAsia" w:eastAsia="宋体"/>
          <w:color w:val="auto"/>
          <w:kern w:val="44"/>
        </w:rPr>
        <w:t>环境影响评价</w:t>
      </w:r>
      <w:r>
        <w:rPr>
          <w:rFonts w:eastAsia="宋体"/>
          <w:color w:val="auto"/>
        </w:rPr>
        <w:tab/>
      </w:r>
      <w:r>
        <w:rPr>
          <w:rFonts w:eastAsia="宋体"/>
          <w:color w:val="auto"/>
        </w:rPr>
        <w:fldChar w:fldCharType="begin"/>
      </w:r>
      <w:r>
        <w:rPr>
          <w:rFonts w:eastAsia="宋体"/>
          <w:color w:val="auto"/>
        </w:rPr>
        <w:instrText xml:space="preserve"> PAGEREF _Toc522457753 \h </w:instrText>
      </w:r>
      <w:r>
        <w:rPr>
          <w:rFonts w:eastAsia="宋体"/>
          <w:color w:val="auto"/>
        </w:rPr>
        <w:fldChar w:fldCharType="separate"/>
      </w:r>
      <w:r>
        <w:rPr>
          <w:rFonts w:eastAsia="宋体"/>
          <w:color w:val="auto"/>
        </w:rPr>
        <w:t>35</w:t>
      </w:r>
      <w:r>
        <w:rPr>
          <w:rFonts w:eastAsia="宋体"/>
          <w:color w:val="auto"/>
        </w:rPr>
        <w:fldChar w:fldCharType="end"/>
      </w:r>
      <w:r>
        <w:rPr>
          <w:rFonts w:eastAsia="宋体"/>
          <w:color w:val="auto"/>
        </w:rPr>
        <w:fldChar w:fldCharType="end"/>
      </w:r>
    </w:p>
    <w:p>
      <w:pPr>
        <w:pStyle w:val="33"/>
        <w:spacing w:line="360" w:lineRule="auto"/>
        <w:rPr>
          <w:rFonts w:ascii="Calibri" w:hAnsi="Calibri" w:eastAsia="宋体"/>
          <w:caps w:val="0"/>
          <w:color w:val="auto"/>
          <w:sz w:val="21"/>
          <w:szCs w:val="22"/>
          <w:lang w:val="en-US" w:eastAsia="zh-CN"/>
        </w:rPr>
      </w:pPr>
      <w:r>
        <w:rPr>
          <w:rFonts w:eastAsia="宋体"/>
          <w:color w:val="auto"/>
        </w:rPr>
        <w:fldChar w:fldCharType="begin"/>
      </w:r>
      <w:r>
        <w:rPr>
          <w:rStyle w:val="48"/>
          <w:rFonts w:eastAsia="宋体"/>
          <w:color w:val="auto"/>
        </w:rPr>
        <w:instrText xml:space="preserve"> </w:instrText>
      </w:r>
      <w:r>
        <w:rPr>
          <w:rFonts w:eastAsia="宋体"/>
          <w:color w:val="auto"/>
        </w:rPr>
        <w:instrText xml:space="preserve">HYPERLINK \l "_Toc522457754"</w:instrText>
      </w:r>
      <w:r>
        <w:rPr>
          <w:rStyle w:val="48"/>
          <w:rFonts w:eastAsia="宋体"/>
          <w:color w:val="auto"/>
        </w:rPr>
        <w:instrText xml:space="preserve"> </w:instrText>
      </w:r>
      <w:r>
        <w:rPr>
          <w:rFonts w:eastAsia="宋体"/>
          <w:color w:val="auto"/>
        </w:rPr>
        <w:fldChar w:fldCharType="separate"/>
      </w:r>
      <w:r>
        <w:rPr>
          <w:rStyle w:val="48"/>
          <w:rFonts w:eastAsia="宋体"/>
          <w:color w:val="auto"/>
        </w:rPr>
        <w:t>8</w:t>
      </w:r>
      <w:r>
        <w:rPr>
          <w:rStyle w:val="48"/>
          <w:rFonts w:hint="eastAsia" w:eastAsia="宋体"/>
          <w:color w:val="auto"/>
        </w:rPr>
        <w:t>建设项目拟采取的防治措施及预期治理效果</w:t>
      </w:r>
      <w:r>
        <w:rPr>
          <w:rFonts w:eastAsia="宋体"/>
          <w:color w:val="auto"/>
        </w:rPr>
        <w:tab/>
      </w:r>
      <w:r>
        <w:rPr>
          <w:rFonts w:eastAsia="宋体"/>
          <w:color w:val="auto"/>
        </w:rPr>
        <w:fldChar w:fldCharType="begin"/>
      </w:r>
      <w:r>
        <w:rPr>
          <w:rFonts w:eastAsia="宋体"/>
          <w:color w:val="auto"/>
        </w:rPr>
        <w:instrText xml:space="preserve"> PAGEREF _Toc522457754 \h </w:instrText>
      </w:r>
      <w:r>
        <w:rPr>
          <w:rFonts w:eastAsia="宋体"/>
          <w:color w:val="auto"/>
        </w:rPr>
        <w:fldChar w:fldCharType="separate"/>
      </w:r>
      <w:r>
        <w:rPr>
          <w:rFonts w:eastAsia="宋体"/>
          <w:color w:val="auto"/>
        </w:rPr>
        <w:t>46</w:t>
      </w:r>
      <w:r>
        <w:rPr>
          <w:rFonts w:eastAsia="宋体"/>
          <w:color w:val="auto"/>
        </w:rPr>
        <w:fldChar w:fldCharType="end"/>
      </w:r>
      <w:r>
        <w:rPr>
          <w:rFonts w:eastAsia="宋体"/>
          <w:color w:val="auto"/>
        </w:rPr>
        <w:fldChar w:fldCharType="end"/>
      </w:r>
    </w:p>
    <w:p>
      <w:pPr>
        <w:pStyle w:val="33"/>
        <w:spacing w:line="360" w:lineRule="auto"/>
        <w:rPr>
          <w:rFonts w:ascii="Calibri" w:hAnsi="Calibri" w:eastAsia="宋体"/>
          <w:caps w:val="0"/>
          <w:color w:val="auto"/>
          <w:sz w:val="21"/>
          <w:szCs w:val="22"/>
          <w:lang w:val="en-US" w:eastAsia="zh-CN"/>
        </w:rPr>
      </w:pPr>
      <w:r>
        <w:rPr>
          <w:rFonts w:eastAsia="宋体"/>
          <w:color w:val="auto"/>
        </w:rPr>
        <w:fldChar w:fldCharType="begin"/>
      </w:r>
      <w:r>
        <w:rPr>
          <w:rStyle w:val="48"/>
          <w:rFonts w:eastAsia="宋体"/>
          <w:color w:val="auto"/>
        </w:rPr>
        <w:instrText xml:space="preserve"> </w:instrText>
      </w:r>
      <w:r>
        <w:rPr>
          <w:rFonts w:eastAsia="宋体"/>
          <w:color w:val="auto"/>
        </w:rPr>
        <w:instrText xml:space="preserve">HYPERLINK \l "_Toc522457755"</w:instrText>
      </w:r>
      <w:r>
        <w:rPr>
          <w:rStyle w:val="48"/>
          <w:rFonts w:eastAsia="宋体"/>
          <w:color w:val="auto"/>
        </w:rPr>
        <w:instrText xml:space="preserve"> </w:instrText>
      </w:r>
      <w:r>
        <w:rPr>
          <w:rFonts w:eastAsia="宋体"/>
          <w:color w:val="auto"/>
        </w:rPr>
        <w:fldChar w:fldCharType="separate"/>
      </w:r>
      <w:r>
        <w:rPr>
          <w:rStyle w:val="48"/>
          <w:rFonts w:eastAsia="宋体"/>
          <w:color w:val="auto"/>
        </w:rPr>
        <w:t>9</w:t>
      </w:r>
      <w:r>
        <w:rPr>
          <w:rStyle w:val="48"/>
          <w:rFonts w:hint="eastAsia" w:eastAsia="宋体"/>
          <w:color w:val="auto"/>
        </w:rPr>
        <w:t>环境管理与监测计划</w:t>
      </w:r>
      <w:r>
        <w:rPr>
          <w:rFonts w:eastAsia="宋体"/>
          <w:color w:val="auto"/>
        </w:rPr>
        <w:tab/>
      </w:r>
      <w:r>
        <w:rPr>
          <w:rFonts w:eastAsia="宋体"/>
          <w:color w:val="auto"/>
        </w:rPr>
        <w:fldChar w:fldCharType="begin"/>
      </w:r>
      <w:r>
        <w:rPr>
          <w:rFonts w:eastAsia="宋体"/>
          <w:color w:val="auto"/>
        </w:rPr>
        <w:instrText xml:space="preserve"> PAGEREF _Toc522457755 \h </w:instrText>
      </w:r>
      <w:r>
        <w:rPr>
          <w:rFonts w:eastAsia="宋体"/>
          <w:color w:val="auto"/>
        </w:rPr>
        <w:fldChar w:fldCharType="separate"/>
      </w:r>
      <w:r>
        <w:rPr>
          <w:rFonts w:eastAsia="宋体"/>
          <w:color w:val="auto"/>
        </w:rPr>
        <w:t>47</w:t>
      </w:r>
      <w:r>
        <w:rPr>
          <w:rFonts w:eastAsia="宋体"/>
          <w:color w:val="auto"/>
        </w:rPr>
        <w:fldChar w:fldCharType="end"/>
      </w:r>
      <w:r>
        <w:rPr>
          <w:rFonts w:eastAsia="宋体"/>
          <w:color w:val="auto"/>
        </w:rPr>
        <w:fldChar w:fldCharType="end"/>
      </w:r>
    </w:p>
    <w:p>
      <w:pPr>
        <w:pStyle w:val="33"/>
        <w:spacing w:line="360" w:lineRule="auto"/>
        <w:rPr>
          <w:rStyle w:val="48"/>
          <w:rFonts w:hint="eastAsia" w:eastAsia="宋体"/>
          <w:color w:val="auto"/>
          <w:lang w:eastAsia="zh-CN"/>
        </w:rPr>
      </w:pPr>
      <w:r>
        <w:rPr>
          <w:rFonts w:eastAsia="宋体"/>
          <w:color w:val="auto"/>
        </w:rPr>
        <w:fldChar w:fldCharType="begin"/>
      </w:r>
      <w:r>
        <w:rPr>
          <w:rStyle w:val="48"/>
          <w:rFonts w:eastAsia="宋体"/>
          <w:color w:val="auto"/>
        </w:rPr>
        <w:instrText xml:space="preserve"> </w:instrText>
      </w:r>
      <w:r>
        <w:rPr>
          <w:rFonts w:eastAsia="宋体"/>
          <w:color w:val="auto"/>
        </w:rPr>
        <w:instrText xml:space="preserve">HYPERLINK \l "_Toc522457756"</w:instrText>
      </w:r>
      <w:r>
        <w:rPr>
          <w:rStyle w:val="48"/>
          <w:rFonts w:eastAsia="宋体"/>
          <w:color w:val="auto"/>
        </w:rPr>
        <w:instrText xml:space="preserve"> </w:instrText>
      </w:r>
      <w:r>
        <w:rPr>
          <w:rFonts w:eastAsia="宋体"/>
          <w:color w:val="auto"/>
        </w:rPr>
        <w:fldChar w:fldCharType="separate"/>
      </w:r>
      <w:r>
        <w:rPr>
          <w:rStyle w:val="48"/>
          <w:rFonts w:eastAsia="宋体"/>
          <w:bCs/>
          <w:color w:val="auto"/>
        </w:rPr>
        <w:t>10</w:t>
      </w:r>
      <w:r>
        <w:rPr>
          <w:rStyle w:val="48"/>
          <w:rFonts w:hint="eastAsia" w:eastAsia="宋体"/>
          <w:bCs/>
          <w:color w:val="auto"/>
        </w:rPr>
        <w:t>结论、措施与建议</w:t>
      </w:r>
      <w:r>
        <w:rPr>
          <w:rFonts w:eastAsia="宋体"/>
          <w:color w:val="auto"/>
        </w:rPr>
        <w:tab/>
      </w:r>
      <w:r>
        <w:rPr>
          <w:rFonts w:eastAsia="宋体"/>
          <w:color w:val="auto"/>
        </w:rPr>
        <w:fldChar w:fldCharType="begin"/>
      </w:r>
      <w:r>
        <w:rPr>
          <w:rFonts w:eastAsia="宋体"/>
          <w:color w:val="auto"/>
        </w:rPr>
        <w:instrText xml:space="preserve"> PAGEREF _Toc522457756 \h </w:instrText>
      </w:r>
      <w:r>
        <w:rPr>
          <w:rFonts w:eastAsia="宋体"/>
          <w:color w:val="auto"/>
        </w:rPr>
        <w:fldChar w:fldCharType="separate"/>
      </w:r>
      <w:r>
        <w:rPr>
          <w:rFonts w:eastAsia="宋体"/>
          <w:color w:val="auto"/>
        </w:rPr>
        <w:t>49</w:t>
      </w:r>
      <w:r>
        <w:rPr>
          <w:rFonts w:eastAsia="宋体"/>
          <w:color w:val="auto"/>
        </w:rPr>
        <w:fldChar w:fldCharType="end"/>
      </w:r>
      <w:r>
        <w:rPr>
          <w:rFonts w:eastAsia="宋体"/>
          <w:color w:val="auto"/>
        </w:rPr>
        <w:fldChar w:fldCharType="end"/>
      </w:r>
    </w:p>
    <w:p>
      <w:pPr>
        <w:rPr>
          <w:color w:val="auto"/>
        </w:rPr>
      </w:pPr>
    </w:p>
    <w:p>
      <w:pPr>
        <w:pStyle w:val="33"/>
        <w:spacing w:line="360" w:lineRule="auto"/>
        <w:rPr>
          <w:rFonts w:ascii="Calibri" w:hAnsi="Calibri" w:eastAsia="宋体"/>
          <w:caps w:val="0"/>
          <w:color w:val="auto"/>
          <w:sz w:val="21"/>
          <w:szCs w:val="22"/>
          <w:lang w:val="en-US" w:eastAsia="zh-CN"/>
        </w:rPr>
      </w:pPr>
      <w:r>
        <w:rPr>
          <w:rFonts w:eastAsia="宋体"/>
          <w:color w:val="auto"/>
        </w:rPr>
        <w:fldChar w:fldCharType="begin"/>
      </w:r>
      <w:r>
        <w:rPr>
          <w:rStyle w:val="48"/>
          <w:rFonts w:eastAsia="宋体"/>
          <w:color w:val="auto"/>
        </w:rPr>
        <w:instrText xml:space="preserve"> </w:instrText>
      </w:r>
      <w:r>
        <w:rPr>
          <w:rFonts w:eastAsia="宋体"/>
          <w:color w:val="auto"/>
        </w:rPr>
        <w:instrText xml:space="preserve">HYPERLINK \l "_Toc522457757"</w:instrText>
      </w:r>
      <w:r>
        <w:rPr>
          <w:rStyle w:val="48"/>
          <w:rFonts w:eastAsia="宋体"/>
          <w:color w:val="auto"/>
        </w:rPr>
        <w:instrText xml:space="preserve"> </w:instrText>
      </w:r>
      <w:r>
        <w:rPr>
          <w:rFonts w:eastAsia="宋体"/>
          <w:color w:val="auto"/>
        </w:rPr>
        <w:fldChar w:fldCharType="separate"/>
      </w:r>
      <w:r>
        <w:rPr>
          <w:rStyle w:val="48"/>
          <w:rFonts w:hint="eastAsia" w:eastAsia="宋体"/>
          <w:color w:val="auto"/>
        </w:rPr>
        <w:t>电磁环境影响专题评价</w:t>
      </w:r>
      <w:r>
        <w:rPr>
          <w:rFonts w:eastAsia="宋体"/>
          <w:color w:val="auto"/>
        </w:rPr>
        <w:tab/>
      </w:r>
      <w:r>
        <w:rPr>
          <w:rFonts w:eastAsia="宋体"/>
          <w:color w:val="auto"/>
        </w:rPr>
        <w:fldChar w:fldCharType="begin"/>
      </w:r>
      <w:r>
        <w:rPr>
          <w:rFonts w:eastAsia="宋体"/>
          <w:color w:val="auto"/>
        </w:rPr>
        <w:instrText xml:space="preserve"> PAGEREF _Toc522457757 \h </w:instrText>
      </w:r>
      <w:r>
        <w:rPr>
          <w:rFonts w:eastAsia="宋体"/>
          <w:color w:val="auto"/>
        </w:rPr>
        <w:fldChar w:fldCharType="separate"/>
      </w:r>
      <w:r>
        <w:rPr>
          <w:rFonts w:eastAsia="宋体"/>
          <w:color w:val="auto"/>
        </w:rPr>
        <w:t>1</w:t>
      </w:r>
      <w:r>
        <w:rPr>
          <w:rFonts w:eastAsia="宋体"/>
          <w:color w:val="auto"/>
        </w:rPr>
        <w:fldChar w:fldCharType="end"/>
      </w:r>
      <w:r>
        <w:rPr>
          <w:rFonts w:eastAsia="宋体"/>
          <w:color w:val="auto"/>
        </w:rPr>
        <w:fldChar w:fldCharType="end"/>
      </w:r>
    </w:p>
    <w:p>
      <w:pPr>
        <w:widowControl/>
        <w:spacing w:line="360" w:lineRule="auto"/>
        <w:jc w:val="center"/>
        <w:rPr>
          <w:rFonts w:ascii="Times New Roman" w:hAnsi="Times New Roman"/>
          <w:color w:val="auto"/>
        </w:rPr>
      </w:pPr>
      <w:r>
        <w:rPr>
          <w:rFonts w:ascii="Times New Roman" w:hAnsi="Times New Roman"/>
          <w:b/>
          <w:color w:val="auto"/>
        </w:rPr>
        <w:fldChar w:fldCharType="end"/>
      </w:r>
    </w:p>
    <w:p>
      <w:pPr>
        <w:rPr>
          <w:rFonts w:hint="eastAsia" w:ascii="Times New Roman" w:hAnsi="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23"/>
        <w:keepNext w:val="0"/>
        <w:keepLines w:val="0"/>
        <w:pageBreakBefore w:val="0"/>
        <w:widowControl w:val="0"/>
        <w:kinsoku/>
        <w:wordWrap/>
        <w:overflowPunct/>
        <w:topLinePunct w:val="0"/>
        <w:autoSpaceDE/>
        <w:autoSpaceDN/>
        <w:bidi w:val="0"/>
        <w:adjustRightInd/>
        <w:spacing w:line="360" w:lineRule="auto"/>
        <w:ind w:firstLine="0" w:firstLineChars="0"/>
        <w:jc w:val="left"/>
        <w:textAlignment w:val="auto"/>
        <w:outlineLvl w:val="0"/>
        <w:rPr>
          <w:rFonts w:ascii="Times New Roman"/>
          <w:b/>
          <w:bCs/>
          <w:color w:val="auto"/>
          <w:sz w:val="21"/>
          <w:szCs w:val="21"/>
        </w:rPr>
      </w:pPr>
      <w:bookmarkStart w:id="0" w:name="_Toc490060563"/>
      <w:bookmarkStart w:id="1" w:name="_Toc490060885"/>
      <w:bookmarkStart w:id="2" w:name="_Toc522457745"/>
      <w:bookmarkStart w:id="3" w:name="_Toc418598189"/>
      <w:bookmarkStart w:id="4" w:name="_Toc490060562"/>
      <w:bookmarkStart w:id="5" w:name="_Toc490060884"/>
      <w:r>
        <w:rPr>
          <w:rFonts w:ascii="Times New Roman"/>
          <w:b/>
          <w:bCs/>
          <w:color w:val="auto"/>
          <w:sz w:val="21"/>
          <w:szCs w:val="21"/>
        </w:rPr>
        <w:t>附图：</w:t>
      </w:r>
      <w:bookmarkEnd w:id="0"/>
      <w:bookmarkEnd w:id="1"/>
      <w:bookmarkEnd w:id="2"/>
    </w:p>
    <w:p>
      <w:pPr>
        <w:pStyle w:val="23"/>
        <w:keepNext w:val="0"/>
        <w:keepLines w:val="0"/>
        <w:pageBreakBefore w:val="0"/>
        <w:widowControl w:val="0"/>
        <w:kinsoku/>
        <w:wordWrap/>
        <w:overflowPunct/>
        <w:topLinePunct w:val="0"/>
        <w:autoSpaceDE/>
        <w:autoSpaceDN/>
        <w:bidi w:val="0"/>
        <w:adjustRightInd/>
        <w:spacing w:line="360" w:lineRule="auto"/>
        <w:ind w:firstLine="0" w:firstLineChars="0"/>
        <w:jc w:val="left"/>
        <w:textAlignment w:val="auto"/>
        <w:outlineLvl w:val="0"/>
        <w:rPr>
          <w:rFonts w:ascii="Times New Roman"/>
          <w:b/>
          <w:bCs/>
          <w:color w:val="auto"/>
          <w:sz w:val="21"/>
          <w:szCs w:val="21"/>
        </w:rPr>
      </w:pPr>
    </w:p>
    <w:p>
      <w:pPr>
        <w:pStyle w:val="23"/>
        <w:keepNext w:val="0"/>
        <w:keepLines w:val="0"/>
        <w:pageBreakBefore w:val="0"/>
        <w:widowControl w:val="0"/>
        <w:kinsoku/>
        <w:wordWrap/>
        <w:overflowPunct/>
        <w:topLinePunct w:val="0"/>
        <w:autoSpaceDE/>
        <w:autoSpaceDN/>
        <w:bidi w:val="0"/>
        <w:adjustRightInd/>
        <w:snapToGrid w:val="0"/>
        <w:spacing w:line="360" w:lineRule="auto"/>
        <w:ind w:firstLine="0" w:firstLineChars="0"/>
        <w:contextualSpacing/>
        <w:jc w:val="left"/>
        <w:textAlignment w:val="auto"/>
        <w:rPr>
          <w:rFonts w:ascii="Times New Roman"/>
          <w:color w:val="auto"/>
          <w:sz w:val="21"/>
          <w:szCs w:val="21"/>
        </w:rPr>
      </w:pPr>
      <w:r>
        <w:rPr>
          <w:rFonts w:ascii="Times New Roman"/>
          <w:color w:val="auto"/>
          <w:sz w:val="21"/>
          <w:szCs w:val="21"/>
        </w:rPr>
        <w:t>图1   本工程地理位置示意图</w:t>
      </w:r>
    </w:p>
    <w:bookmarkEnd w:id="3"/>
    <w:bookmarkEnd w:id="4"/>
    <w:bookmarkEnd w:id="5"/>
    <w:p>
      <w:pPr>
        <w:outlineLvl w:val="0"/>
        <w:rPr>
          <w:rFonts w:ascii="Times New Roman" w:hAnsi="Times New Roman"/>
          <w:b/>
          <w:color w:val="auto"/>
          <w:sz w:val="21"/>
          <w:szCs w:val="21"/>
        </w:rPr>
        <w:sectPr>
          <w:headerReference r:id="rId3" w:type="default"/>
          <w:footerReference r:id="rId4" w:type="default"/>
          <w:pgSz w:w="11906" w:h="16838"/>
          <w:pgMar w:top="1440" w:right="1287" w:bottom="1440" w:left="1797"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pPr>
        <w:outlineLvl w:val="0"/>
        <w:rPr>
          <w:rFonts w:hint="eastAsia" w:ascii="Times New Roman" w:hAnsi="Times New Roman"/>
          <w:b/>
          <w:color w:val="auto"/>
          <w:sz w:val="28"/>
          <w:szCs w:val="28"/>
        </w:rPr>
      </w:pPr>
      <w:bookmarkStart w:id="6" w:name="_Toc522457747"/>
      <w:r>
        <w:rPr>
          <w:rFonts w:ascii="Times New Roman" w:hAnsi="Times New Roman"/>
          <w:b/>
          <w:color w:val="auto"/>
          <w:sz w:val="28"/>
          <w:szCs w:val="28"/>
        </w:rPr>
        <w:t>1建设项目</w:t>
      </w:r>
      <w:r>
        <w:rPr>
          <w:rFonts w:hint="eastAsia" w:ascii="Times New Roman" w:hAnsi="Times New Roman"/>
          <w:b/>
          <w:color w:val="auto"/>
          <w:sz w:val="28"/>
          <w:szCs w:val="28"/>
        </w:rPr>
        <w:t>基本情况</w:t>
      </w:r>
      <w:bookmarkEnd w:id="6"/>
    </w:p>
    <w:tbl>
      <w:tblPr>
        <w:tblStyle w:val="50"/>
        <w:tblW w:w="88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954"/>
        <w:gridCol w:w="740"/>
        <w:gridCol w:w="736"/>
        <w:gridCol w:w="256"/>
        <w:gridCol w:w="83"/>
        <w:gridCol w:w="754"/>
        <w:gridCol w:w="196"/>
        <w:gridCol w:w="1064"/>
        <w:gridCol w:w="183"/>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525" w:type="dxa"/>
            <w:vAlign w:val="center"/>
          </w:tcPr>
          <w:p>
            <w:pPr>
              <w:jc w:val="center"/>
              <w:rPr>
                <w:rFonts w:ascii="Times New Roman" w:hAnsi="Times New Roman"/>
                <w:b/>
                <w:color w:val="auto"/>
              </w:rPr>
            </w:pPr>
            <w:r>
              <w:rPr>
                <w:rFonts w:ascii="Times New Roman" w:hAnsi="Times New Roman"/>
                <w:b/>
                <w:color w:val="auto"/>
              </w:rPr>
              <w:t>项目名称</w:t>
            </w:r>
          </w:p>
        </w:tc>
        <w:tc>
          <w:tcPr>
            <w:tcW w:w="7369" w:type="dxa"/>
            <w:gridSpan w:val="10"/>
            <w:vAlign w:val="center"/>
          </w:tcPr>
          <w:p>
            <w:pPr>
              <w:jc w:val="center"/>
              <w:rPr>
                <w:rFonts w:ascii="Times New Roman" w:hAnsi="Times New Roman"/>
                <w:color w:val="auto"/>
              </w:rPr>
            </w:pPr>
            <w:r>
              <w:rPr>
                <w:rFonts w:hint="eastAsia" w:ascii="Times New Roman" w:hAnsi="Times New Roman"/>
                <w:color w:val="auto"/>
              </w:rPr>
              <w:t>文昌气电π接220kV玉洲至江东线路新建工程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1525" w:type="dxa"/>
            <w:vAlign w:val="center"/>
          </w:tcPr>
          <w:p>
            <w:pPr>
              <w:jc w:val="center"/>
              <w:rPr>
                <w:rFonts w:ascii="Times New Roman" w:hAnsi="Times New Roman"/>
                <w:b/>
                <w:color w:val="auto"/>
              </w:rPr>
            </w:pPr>
            <w:r>
              <w:rPr>
                <w:rFonts w:ascii="Times New Roman" w:hAnsi="Times New Roman"/>
                <w:b/>
                <w:color w:val="auto"/>
              </w:rPr>
              <w:t>建设单位</w:t>
            </w:r>
          </w:p>
        </w:tc>
        <w:tc>
          <w:tcPr>
            <w:tcW w:w="7369" w:type="dxa"/>
            <w:gridSpan w:val="10"/>
            <w:vAlign w:val="center"/>
          </w:tcPr>
          <w:p>
            <w:pPr>
              <w:jc w:val="center"/>
              <w:rPr>
                <w:rFonts w:ascii="Times New Roman" w:hAnsi="Times New Roman"/>
                <w:color w:val="auto"/>
              </w:rPr>
            </w:pPr>
            <w:r>
              <w:rPr>
                <w:rFonts w:ascii="Times New Roman" w:hAnsi="Times New Roman"/>
                <w:color w:val="auto"/>
              </w:rPr>
              <w:t>海南电网有限责任公司建设分公司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5" w:hRule="atLeast"/>
          <w:jc w:val="center"/>
        </w:trPr>
        <w:tc>
          <w:tcPr>
            <w:tcW w:w="1525" w:type="dxa"/>
            <w:vAlign w:val="center"/>
          </w:tcPr>
          <w:p>
            <w:pPr>
              <w:jc w:val="center"/>
              <w:rPr>
                <w:rFonts w:ascii="Times New Roman" w:hAnsi="Times New Roman"/>
                <w:b/>
                <w:color w:val="auto"/>
              </w:rPr>
            </w:pPr>
            <w:r>
              <w:rPr>
                <w:rFonts w:ascii="Times New Roman" w:hAnsi="Times New Roman"/>
                <w:b/>
                <w:color w:val="auto"/>
              </w:rPr>
              <w:t>法人代表</w:t>
            </w:r>
          </w:p>
        </w:tc>
        <w:tc>
          <w:tcPr>
            <w:tcW w:w="2694" w:type="dxa"/>
            <w:gridSpan w:val="2"/>
            <w:vAlign w:val="center"/>
          </w:tcPr>
          <w:p>
            <w:pPr>
              <w:jc w:val="center"/>
              <w:rPr>
                <w:rFonts w:hint="default" w:eastAsia="宋体"/>
                <w:color w:val="auto"/>
                <w:lang w:val="en-US" w:eastAsia="zh-CN"/>
              </w:rPr>
            </w:pPr>
            <w:r>
              <w:rPr>
                <w:rFonts w:hint="eastAsia"/>
                <w:color w:val="auto"/>
                <w:lang w:val="en-US" w:eastAsia="zh-CN"/>
              </w:rPr>
              <w:t>***</w:t>
            </w:r>
          </w:p>
        </w:tc>
        <w:tc>
          <w:tcPr>
            <w:tcW w:w="992" w:type="dxa"/>
            <w:gridSpan w:val="2"/>
            <w:vAlign w:val="center"/>
          </w:tcPr>
          <w:p>
            <w:pPr>
              <w:jc w:val="center"/>
              <w:rPr>
                <w:b/>
                <w:color w:val="auto"/>
              </w:rPr>
            </w:pPr>
            <w:r>
              <w:rPr>
                <w:b/>
                <w:color w:val="auto"/>
              </w:rPr>
              <w:t>联系人</w:t>
            </w:r>
          </w:p>
        </w:tc>
        <w:tc>
          <w:tcPr>
            <w:tcW w:w="3683" w:type="dxa"/>
            <w:gridSpan w:val="6"/>
            <w:vAlign w:val="center"/>
          </w:tcPr>
          <w:p>
            <w:pPr>
              <w:jc w:val="center"/>
              <w:rPr>
                <w:rFonts w:hint="default" w:eastAsia="宋体"/>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525" w:type="dxa"/>
            <w:vAlign w:val="center"/>
          </w:tcPr>
          <w:p>
            <w:pPr>
              <w:jc w:val="center"/>
              <w:rPr>
                <w:rFonts w:ascii="Times New Roman" w:hAnsi="Times New Roman"/>
                <w:b/>
                <w:color w:val="auto"/>
              </w:rPr>
            </w:pPr>
            <w:r>
              <w:rPr>
                <w:rFonts w:ascii="Times New Roman" w:hAnsi="Times New Roman"/>
                <w:b/>
                <w:color w:val="auto"/>
              </w:rPr>
              <w:t>通讯地址</w:t>
            </w:r>
          </w:p>
        </w:tc>
        <w:tc>
          <w:tcPr>
            <w:tcW w:w="7369" w:type="dxa"/>
            <w:gridSpan w:val="10"/>
            <w:vAlign w:val="center"/>
          </w:tcPr>
          <w:p>
            <w:pPr>
              <w:jc w:val="center"/>
              <w:rPr>
                <w:rFonts w:ascii="Times New Roman" w:hAnsi="Times New Roman"/>
                <w:color w:val="auto"/>
              </w:rPr>
            </w:pPr>
            <w:r>
              <w:rPr>
                <w:rFonts w:ascii="Times New Roman" w:hAnsi="Times New Roman"/>
                <w:color w:val="auto"/>
              </w:rPr>
              <w:t>海口市龙华区滨海大道123-8号信恒大厦第27层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1525" w:type="dxa"/>
            <w:vAlign w:val="center"/>
          </w:tcPr>
          <w:p>
            <w:pPr>
              <w:jc w:val="center"/>
              <w:rPr>
                <w:rFonts w:ascii="Times New Roman" w:hAnsi="Times New Roman"/>
                <w:b/>
                <w:color w:val="auto"/>
              </w:rPr>
            </w:pPr>
            <w:r>
              <w:rPr>
                <w:rFonts w:ascii="Times New Roman" w:hAnsi="Times New Roman"/>
                <w:b/>
                <w:color w:val="auto"/>
              </w:rPr>
              <w:t>联系电话</w:t>
            </w:r>
          </w:p>
        </w:tc>
        <w:tc>
          <w:tcPr>
            <w:tcW w:w="2694" w:type="dxa"/>
            <w:gridSpan w:val="2"/>
            <w:vAlign w:val="center"/>
          </w:tcPr>
          <w:p>
            <w:pPr>
              <w:jc w:val="center"/>
              <w:rPr>
                <w:rFonts w:ascii="Times New Roman" w:hAnsi="Times New Roman"/>
                <w:color w:val="auto"/>
              </w:rPr>
            </w:pPr>
            <w:r>
              <w:rPr>
                <w:rFonts w:hint="eastAsia"/>
                <w:color w:val="auto"/>
                <w:lang w:val="en-US" w:eastAsia="zh-CN"/>
              </w:rPr>
              <w:t>******</w:t>
            </w:r>
          </w:p>
        </w:tc>
        <w:tc>
          <w:tcPr>
            <w:tcW w:w="736" w:type="dxa"/>
            <w:vAlign w:val="center"/>
          </w:tcPr>
          <w:p>
            <w:pPr>
              <w:jc w:val="center"/>
              <w:rPr>
                <w:rFonts w:ascii="Times New Roman" w:hAnsi="Times New Roman"/>
                <w:b/>
                <w:color w:val="auto"/>
              </w:rPr>
            </w:pPr>
            <w:r>
              <w:rPr>
                <w:rFonts w:ascii="Times New Roman"/>
                <w:b/>
                <w:color w:val="auto"/>
              </w:rPr>
              <w:t>传真</w:t>
            </w:r>
          </w:p>
        </w:tc>
        <w:tc>
          <w:tcPr>
            <w:tcW w:w="1093" w:type="dxa"/>
            <w:gridSpan w:val="3"/>
            <w:vAlign w:val="center"/>
          </w:tcPr>
          <w:p>
            <w:pPr>
              <w:jc w:val="center"/>
              <w:rPr>
                <w:rFonts w:ascii="Times New Roman" w:hAnsi="Times New Roman"/>
                <w:color w:val="auto"/>
              </w:rPr>
            </w:pPr>
            <w:r>
              <w:rPr>
                <w:rFonts w:ascii="Times New Roman" w:hAnsi="Times New Roman"/>
                <w:color w:val="auto"/>
              </w:rPr>
              <w:t>—</w:t>
            </w:r>
          </w:p>
        </w:tc>
        <w:tc>
          <w:tcPr>
            <w:tcW w:w="1260" w:type="dxa"/>
            <w:gridSpan w:val="2"/>
            <w:vAlign w:val="center"/>
          </w:tcPr>
          <w:p>
            <w:pPr>
              <w:jc w:val="center"/>
              <w:rPr>
                <w:rFonts w:ascii="Times New Roman" w:hAnsi="Times New Roman"/>
                <w:b/>
                <w:color w:val="auto"/>
              </w:rPr>
            </w:pPr>
            <w:r>
              <w:rPr>
                <w:rFonts w:ascii="Times New Roman"/>
                <w:b/>
                <w:color w:val="auto"/>
              </w:rPr>
              <w:t>邮政编码</w:t>
            </w:r>
          </w:p>
        </w:tc>
        <w:tc>
          <w:tcPr>
            <w:tcW w:w="1586" w:type="dxa"/>
            <w:gridSpan w:val="2"/>
            <w:vAlign w:val="center"/>
          </w:tcPr>
          <w:p>
            <w:pPr>
              <w:jc w:val="center"/>
              <w:rPr>
                <w:rFonts w:ascii="Times New Roman" w:hAnsi="Times New Roman"/>
                <w:color w:val="auto"/>
              </w:rPr>
            </w:pPr>
            <w:r>
              <w:rPr>
                <w:rFonts w:ascii="Times New Roman" w:hAnsi="Times New Roman"/>
                <w:color w:val="auto"/>
              </w:rPr>
              <w:t>570000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1525" w:type="dxa"/>
            <w:vAlign w:val="center"/>
          </w:tcPr>
          <w:p>
            <w:pPr>
              <w:jc w:val="center"/>
              <w:rPr>
                <w:rFonts w:ascii="Times New Roman" w:hAnsi="Times New Roman"/>
                <w:b/>
                <w:color w:val="auto"/>
              </w:rPr>
            </w:pPr>
            <w:r>
              <w:rPr>
                <w:rFonts w:ascii="Times New Roman" w:hAnsi="Times New Roman"/>
                <w:b/>
                <w:color w:val="auto"/>
              </w:rPr>
              <w:t>建设地点</w:t>
            </w:r>
          </w:p>
        </w:tc>
        <w:tc>
          <w:tcPr>
            <w:tcW w:w="7369" w:type="dxa"/>
            <w:gridSpan w:val="10"/>
            <w:vAlign w:val="center"/>
          </w:tcPr>
          <w:p>
            <w:pPr>
              <w:autoSpaceDE w:val="0"/>
              <w:autoSpaceDN w:val="0"/>
              <w:jc w:val="center"/>
              <w:rPr>
                <w:rFonts w:ascii="Times New Roman" w:hAnsi="Times New Roman"/>
                <w:color w:val="auto"/>
              </w:rPr>
            </w:pPr>
            <w:r>
              <w:rPr>
                <w:rFonts w:hint="eastAsia" w:ascii="Times New Roman" w:hAnsi="Times New Roman"/>
                <w:color w:val="auto"/>
              </w:rPr>
              <w:t>本</w:t>
            </w:r>
            <w:r>
              <w:rPr>
                <w:rFonts w:ascii="Times New Roman" w:hAnsi="Times New Roman"/>
                <w:color w:val="auto"/>
              </w:rPr>
              <w:t>工程位于</w:t>
            </w:r>
            <w:r>
              <w:rPr>
                <w:rFonts w:hint="eastAsia" w:ascii="Times New Roman" w:hAnsi="Times New Roman"/>
                <w:color w:val="auto"/>
              </w:rPr>
              <w:t>海南省</w:t>
            </w:r>
            <w:r>
              <w:rPr>
                <w:rFonts w:hint="eastAsia" w:ascii="Times New Roman" w:hAnsi="Times New Roman"/>
                <w:color w:val="auto"/>
                <w:lang w:eastAsia="zh-CN"/>
              </w:rPr>
              <w:t>海口市龙华区、琼山区及美兰区</w:t>
            </w:r>
            <w:r>
              <w:rPr>
                <w:rFonts w:hint="eastAsia" w:ascii="Times New Roman" w:hAnsi="Times New Roman"/>
                <w:color w:val="auto"/>
              </w:rPr>
              <w:t>和</w:t>
            </w:r>
            <w:r>
              <w:rPr>
                <w:rFonts w:hint="eastAsia" w:ascii="Times New Roman" w:hAnsi="Times New Roman"/>
                <w:color w:val="auto"/>
                <w:lang w:eastAsia="zh-CN"/>
              </w:rPr>
              <w:t>文昌市东路镇境</w:t>
            </w:r>
            <w:r>
              <w:rPr>
                <w:rFonts w:ascii="Times New Roman" w:hAnsi="Times New Roman"/>
                <w:color w:val="auto"/>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1525" w:type="dxa"/>
            <w:vAlign w:val="center"/>
          </w:tcPr>
          <w:p>
            <w:pPr>
              <w:jc w:val="center"/>
              <w:rPr>
                <w:rFonts w:ascii="Times New Roman" w:hAnsi="Times New Roman"/>
                <w:b/>
                <w:color w:val="auto"/>
              </w:rPr>
            </w:pPr>
            <w:r>
              <w:rPr>
                <w:rFonts w:ascii="Times New Roman" w:hAnsi="Times New Roman"/>
                <w:b/>
                <w:color w:val="auto"/>
              </w:rPr>
              <w:t>建设性质</w:t>
            </w:r>
          </w:p>
        </w:tc>
        <w:tc>
          <w:tcPr>
            <w:tcW w:w="2694" w:type="dxa"/>
            <w:gridSpan w:val="2"/>
            <w:vAlign w:val="center"/>
          </w:tcPr>
          <w:p>
            <w:pPr>
              <w:jc w:val="center"/>
              <w:rPr>
                <w:rFonts w:ascii="Times New Roman" w:hAnsi="Times New Roman"/>
                <w:color w:val="auto"/>
              </w:rPr>
            </w:pPr>
            <w:r>
              <w:rPr>
                <w:rFonts w:ascii="Times New Roman" w:hAnsi="Times New Roman"/>
                <w:color w:val="auto"/>
                <w:bdr w:val="single" w:color="auto" w:sz="4" w:space="0"/>
              </w:rPr>
              <w:t>√</w:t>
            </w:r>
            <w:r>
              <w:rPr>
                <w:rFonts w:ascii="Times New Roman" w:hAnsi="Times New Roman"/>
                <w:color w:val="auto"/>
              </w:rPr>
              <w:t>新建</w:t>
            </w:r>
            <w:r>
              <w:rPr>
                <w:rFonts w:ascii="Times New Roman" w:hAnsi="Times New Roman"/>
                <w:b/>
                <w:bCs/>
                <w:color w:val="auto"/>
              </w:rPr>
              <w:t>□</w:t>
            </w:r>
            <w:r>
              <w:rPr>
                <w:rFonts w:ascii="Times New Roman" w:hAnsi="Times New Roman"/>
                <w:color w:val="auto"/>
              </w:rPr>
              <w:t>改扩建</w:t>
            </w:r>
            <w:r>
              <w:rPr>
                <w:rFonts w:ascii="Times New Roman" w:hAnsi="Times New Roman"/>
                <w:b/>
                <w:bCs/>
                <w:color w:val="auto"/>
              </w:rPr>
              <w:t>□</w:t>
            </w:r>
            <w:r>
              <w:rPr>
                <w:rFonts w:ascii="Times New Roman" w:hAnsi="Times New Roman"/>
                <w:color w:val="auto"/>
              </w:rPr>
              <w:t>技改</w:t>
            </w:r>
            <w:r>
              <w:rPr>
                <w:rFonts w:ascii="Times New Roman" w:hAnsi="Times New Roman"/>
                <w:color w:val="auto"/>
                <w:bdr w:val="single" w:color="auto" w:sz="4" w:space="0"/>
              </w:rPr>
              <w:t xml:space="preserve">  </w:t>
            </w:r>
          </w:p>
        </w:tc>
        <w:tc>
          <w:tcPr>
            <w:tcW w:w="1829" w:type="dxa"/>
            <w:gridSpan w:val="4"/>
            <w:vAlign w:val="center"/>
          </w:tcPr>
          <w:p>
            <w:pPr>
              <w:jc w:val="center"/>
              <w:rPr>
                <w:rFonts w:ascii="Times New Roman" w:hAnsi="Times New Roman"/>
                <w:b/>
                <w:color w:val="auto"/>
              </w:rPr>
            </w:pPr>
            <w:r>
              <w:rPr>
                <w:rFonts w:ascii="Times New Roman" w:hAnsi="Times New Roman"/>
                <w:b/>
                <w:color w:val="auto"/>
              </w:rPr>
              <w:t>行业类别及代码</w:t>
            </w:r>
          </w:p>
        </w:tc>
        <w:tc>
          <w:tcPr>
            <w:tcW w:w="2846" w:type="dxa"/>
            <w:gridSpan w:val="4"/>
            <w:vAlign w:val="center"/>
          </w:tcPr>
          <w:p>
            <w:pPr>
              <w:jc w:val="center"/>
              <w:rPr>
                <w:rFonts w:ascii="Times New Roman" w:hAnsi="Times New Roman"/>
                <w:color w:val="auto"/>
              </w:rPr>
            </w:pPr>
            <w:r>
              <w:rPr>
                <w:rFonts w:ascii="Times New Roman" w:hAnsi="Times New Roman"/>
                <w:color w:val="auto"/>
              </w:rPr>
              <w:t>电力供应（D4420）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1525" w:type="dxa"/>
            <w:vAlign w:val="center"/>
          </w:tcPr>
          <w:p>
            <w:pPr>
              <w:jc w:val="center"/>
              <w:rPr>
                <w:rFonts w:ascii="Times New Roman" w:hAnsi="Times New Roman"/>
                <w:b/>
                <w:color w:val="auto"/>
              </w:rPr>
            </w:pPr>
            <w:r>
              <w:rPr>
                <w:rFonts w:ascii="Times New Roman" w:hAnsi="Times New Roman"/>
                <w:b/>
                <w:color w:val="auto"/>
              </w:rPr>
              <w:t>占地面积</w:t>
            </w:r>
          </w:p>
        </w:tc>
        <w:tc>
          <w:tcPr>
            <w:tcW w:w="7369" w:type="dxa"/>
            <w:gridSpan w:val="10"/>
            <w:vAlign w:val="center"/>
          </w:tcPr>
          <w:p>
            <w:pPr>
              <w:jc w:val="center"/>
              <w:rPr>
                <w:rFonts w:ascii="Times New Roman" w:hAnsi="Times New Roman"/>
                <w:color w:val="auto"/>
              </w:rPr>
            </w:pPr>
            <w:r>
              <w:rPr>
                <w:rFonts w:ascii="Times New Roman" w:hAnsi="Times New Roman"/>
                <w:color w:val="auto"/>
              </w:rPr>
              <w:t>线路建设塔基</w:t>
            </w:r>
            <w:r>
              <w:rPr>
                <w:rFonts w:hint="eastAsia" w:ascii="Times New Roman" w:hAnsi="Times New Roman"/>
                <w:color w:val="auto"/>
                <w:lang w:val="en-US" w:eastAsia="zh-CN"/>
              </w:rPr>
              <w:t>165</w:t>
            </w:r>
            <w:r>
              <w:rPr>
                <w:rFonts w:ascii="Times New Roman" w:hAnsi="Times New Roman"/>
                <w:color w:val="auto"/>
              </w:rPr>
              <w:t>基，永久占地约</w:t>
            </w:r>
            <w:r>
              <w:rPr>
                <w:rFonts w:hint="eastAsia" w:ascii="Times New Roman" w:hAnsi="Times New Roman"/>
                <w:color w:val="auto"/>
                <w:lang w:val="en-US" w:eastAsia="zh-CN"/>
              </w:rPr>
              <w:t>1320</w:t>
            </w:r>
            <w:r>
              <w:rPr>
                <w:rFonts w:hint="eastAsia" w:ascii="Times New Roman" w:hAnsi="Times New Roman"/>
                <w:color w:val="auto"/>
              </w:rPr>
              <w:t>0</w:t>
            </w:r>
            <w:r>
              <w:rPr>
                <w:rFonts w:ascii="Times New Roman" w:hAnsi="Times New Roman"/>
                <w:color w:val="auto"/>
              </w:rPr>
              <w:t>m</w:t>
            </w:r>
            <w:r>
              <w:rPr>
                <w:rFonts w:ascii="Times New Roman" w:hAnsi="Times New Roman"/>
                <w:color w:val="auto"/>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80" w:hRule="atLeast"/>
          <w:jc w:val="center"/>
        </w:trPr>
        <w:tc>
          <w:tcPr>
            <w:tcW w:w="1525" w:type="dxa"/>
            <w:vAlign w:val="center"/>
          </w:tcPr>
          <w:p>
            <w:pPr>
              <w:jc w:val="center"/>
              <w:rPr>
                <w:rFonts w:ascii="Times New Roman" w:hAnsi="Times New Roman"/>
                <w:b/>
                <w:color w:val="auto"/>
              </w:rPr>
            </w:pPr>
            <w:r>
              <w:rPr>
                <w:rFonts w:ascii="Times New Roman" w:hAnsi="Times New Roman"/>
                <w:b/>
                <w:color w:val="auto"/>
              </w:rPr>
              <w:t>总投资</w:t>
            </w:r>
          </w:p>
          <w:p>
            <w:pPr>
              <w:jc w:val="center"/>
              <w:rPr>
                <w:rFonts w:ascii="Times New Roman" w:hAnsi="Times New Roman"/>
                <w:b/>
                <w:color w:val="auto"/>
              </w:rPr>
            </w:pPr>
            <w:r>
              <w:rPr>
                <w:rFonts w:ascii="Times New Roman" w:hAnsi="Times New Roman"/>
                <w:b/>
                <w:color w:val="auto"/>
              </w:rPr>
              <w:t>（万元）</w:t>
            </w:r>
          </w:p>
        </w:tc>
        <w:tc>
          <w:tcPr>
            <w:tcW w:w="1954" w:type="dxa"/>
            <w:vAlign w:val="center"/>
          </w:tcPr>
          <w:p>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17948.46</w:t>
            </w:r>
          </w:p>
          <w:p>
            <w:pPr>
              <w:jc w:val="center"/>
              <w:rPr>
                <w:rFonts w:ascii="Times New Roman" w:hAnsi="Times New Roman"/>
                <w:color w:val="auto"/>
              </w:rPr>
            </w:pPr>
            <w:r>
              <w:rPr>
                <w:rFonts w:ascii="Times New Roman" w:hAnsi="Times New Roman"/>
                <w:color w:val="auto"/>
              </w:rPr>
              <w:t>（静态投资）</w:t>
            </w:r>
          </w:p>
        </w:tc>
        <w:tc>
          <w:tcPr>
            <w:tcW w:w="1815" w:type="dxa"/>
            <w:gridSpan w:val="4"/>
            <w:vAlign w:val="center"/>
          </w:tcPr>
          <w:p>
            <w:pPr>
              <w:jc w:val="center"/>
              <w:rPr>
                <w:rFonts w:ascii="Times New Roman" w:hAnsi="Times New Roman"/>
                <w:b/>
                <w:color w:val="auto"/>
              </w:rPr>
            </w:pPr>
            <w:r>
              <w:rPr>
                <w:rFonts w:ascii="Times New Roman" w:hAnsi="Times New Roman"/>
                <w:b/>
                <w:color w:val="auto"/>
              </w:rPr>
              <w:t>环保投资（万元）</w:t>
            </w:r>
          </w:p>
        </w:tc>
        <w:tc>
          <w:tcPr>
            <w:tcW w:w="950" w:type="dxa"/>
            <w:gridSpan w:val="2"/>
            <w:vAlign w:val="center"/>
          </w:tcPr>
          <w:p>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288</w:t>
            </w:r>
          </w:p>
        </w:tc>
        <w:tc>
          <w:tcPr>
            <w:tcW w:w="1247" w:type="dxa"/>
            <w:gridSpan w:val="2"/>
            <w:vAlign w:val="center"/>
          </w:tcPr>
          <w:p>
            <w:pPr>
              <w:jc w:val="center"/>
              <w:rPr>
                <w:rFonts w:ascii="Times New Roman" w:hAnsi="Times New Roman"/>
                <w:b/>
                <w:color w:val="auto"/>
              </w:rPr>
            </w:pPr>
            <w:r>
              <w:rPr>
                <w:rFonts w:ascii="Times New Roman" w:hAnsi="Times New Roman"/>
                <w:b/>
                <w:color w:val="auto"/>
              </w:rPr>
              <w:t>环保投资占总投资比例</w:t>
            </w:r>
          </w:p>
        </w:tc>
        <w:tc>
          <w:tcPr>
            <w:tcW w:w="1403" w:type="dxa"/>
            <w:vAlign w:val="center"/>
          </w:tcPr>
          <w:p>
            <w:pPr>
              <w:jc w:val="center"/>
              <w:rPr>
                <w:rFonts w:ascii="Times New Roman" w:hAnsi="Times New Roman"/>
                <w:color w:val="auto"/>
              </w:rPr>
            </w:pPr>
            <w:r>
              <w:rPr>
                <w:rFonts w:hint="eastAsia" w:ascii="Times New Roman" w:hAnsi="Times New Roman"/>
                <w:color w:val="auto"/>
              </w:rPr>
              <w:t>1.</w:t>
            </w:r>
            <w:r>
              <w:rPr>
                <w:rFonts w:hint="eastAsia" w:ascii="Times New Roman" w:hAnsi="Times New Roman"/>
                <w:color w:val="auto"/>
                <w:lang w:val="en-US" w:eastAsia="zh-CN"/>
              </w:rPr>
              <w:t>6</w:t>
            </w:r>
            <w:r>
              <w:rPr>
                <w:rFonts w:ascii="Times New Roman" w:hAns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5294" w:type="dxa"/>
            <w:gridSpan w:val="6"/>
            <w:vAlign w:val="center"/>
          </w:tcPr>
          <w:p>
            <w:pPr>
              <w:jc w:val="center"/>
              <w:rPr>
                <w:rFonts w:ascii="Times New Roman" w:hAnsi="Times New Roman"/>
                <w:b/>
                <w:color w:val="auto"/>
              </w:rPr>
            </w:pPr>
            <w:r>
              <w:rPr>
                <w:rFonts w:ascii="Times New Roman" w:hAnsi="Times New Roman"/>
                <w:b/>
                <w:color w:val="auto"/>
              </w:rPr>
              <w:t>预期投产日期</w:t>
            </w:r>
          </w:p>
        </w:tc>
        <w:tc>
          <w:tcPr>
            <w:tcW w:w="3600" w:type="dxa"/>
            <w:gridSpan w:val="5"/>
            <w:tcBorders>
              <w:left w:val="single" w:color="auto" w:sz="6" w:space="0"/>
            </w:tcBorders>
            <w:vAlign w:val="center"/>
          </w:tcPr>
          <w:p>
            <w:pPr>
              <w:jc w:val="center"/>
              <w:rPr>
                <w:rFonts w:hint="default" w:ascii="Times New Roman" w:hAnsi="Times New Roman" w:eastAsia="宋体"/>
                <w:color w:val="auto"/>
                <w:lang w:val="en-US" w:eastAsia="zh-CN"/>
              </w:rPr>
            </w:pPr>
            <w:r>
              <w:rPr>
                <w:rFonts w:ascii="Times New Roman" w:hAnsi="Times New Roman"/>
                <w:color w:val="auto"/>
              </w:rPr>
              <w:t>20</w:t>
            </w:r>
            <w:r>
              <w:rPr>
                <w:rFonts w:hint="eastAsia" w:ascii="Times New Roman" w:hAnsi="Times New Roman"/>
                <w:color w:val="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51" w:hRule="atLeast"/>
          <w:jc w:val="center"/>
        </w:trPr>
        <w:tc>
          <w:tcPr>
            <w:tcW w:w="8894" w:type="dxa"/>
            <w:gridSpan w:val="11"/>
            <w:vAlign w:val="top"/>
          </w:tcPr>
          <w:p>
            <w:pPr>
              <w:spacing w:line="360" w:lineRule="auto"/>
              <w:rPr>
                <w:rFonts w:hint="eastAsia" w:ascii="Times New Roman" w:hAnsi="Times New Roman"/>
                <w:b/>
                <w:bCs/>
                <w:color w:val="auto"/>
              </w:rPr>
            </w:pPr>
            <w:r>
              <w:rPr>
                <w:rFonts w:ascii="Times New Roman" w:hAnsi="Times New Roman"/>
                <w:b/>
                <w:bCs/>
                <w:color w:val="auto"/>
              </w:rPr>
              <w:t>原辅材料（包括名称、用量）及主要设施规格、数量</w:t>
            </w:r>
          </w:p>
          <w:p>
            <w:pPr>
              <w:spacing w:line="360" w:lineRule="auto"/>
              <w:ind w:firstLine="420" w:firstLineChars="200"/>
              <w:jc w:val="left"/>
              <w:rPr>
                <w:rFonts w:hint="eastAsia" w:ascii="Times New Roman" w:hAnsi="Times New Roman"/>
                <w:color w:val="auto"/>
              </w:rPr>
            </w:pPr>
            <w:r>
              <w:rPr>
                <w:rFonts w:hint="eastAsia" w:ascii="Times New Roman" w:hAnsi="Times New Roman"/>
                <w:color w:val="auto"/>
              </w:rPr>
              <w:t>文昌气电π接220kV玉洲至江东线路新建工程建设内容如下：</w:t>
            </w:r>
          </w:p>
          <w:p>
            <w:pPr>
              <w:spacing w:line="360" w:lineRule="auto"/>
              <w:ind w:firstLine="420" w:firstLineChars="200"/>
              <w:rPr>
                <w:rFonts w:ascii="Times New Roman" w:hAnsi="Times New Roman"/>
                <w:color w:val="auto"/>
              </w:rPr>
            </w:pPr>
            <w:r>
              <w:rPr>
                <w:rFonts w:hint="eastAsia" w:ascii="Times New Roman" w:hAnsi="Times New Roman"/>
                <w:color w:val="auto"/>
                <w:lang w:eastAsia="zh-CN"/>
              </w:rPr>
              <w:t>本工程线路自</w:t>
            </w:r>
            <w:r>
              <w:rPr>
                <w:rFonts w:hint="eastAsia" w:ascii="Times New Roman" w:hAnsi="Times New Roman"/>
                <w:color w:val="auto"/>
              </w:rPr>
              <w:t>文昌气电厂外电缆终端塔</w:t>
            </w:r>
            <w:r>
              <w:rPr>
                <w:rFonts w:hint="eastAsia" w:ascii="Times New Roman" w:hAnsi="Times New Roman"/>
                <w:color w:val="auto"/>
                <w:lang w:eastAsia="zh-CN"/>
              </w:rPr>
              <w:t>起</w:t>
            </w:r>
            <w:r>
              <w:rPr>
                <w:rFonts w:hint="eastAsia" w:ascii="Times New Roman" w:hAnsi="Times New Roman"/>
                <w:color w:val="auto"/>
              </w:rPr>
              <w:t>新建同塔双回220kV线路至玉洲站旁的π接点，长约2×55km，</w:t>
            </w:r>
            <w:r>
              <w:rPr>
                <w:rFonts w:ascii="Times New Roman" w:hAnsi="Times New Roman"/>
                <w:color w:val="auto"/>
              </w:rPr>
              <w:t>导线采用2×JL/LB1A-</w:t>
            </w:r>
            <w:r>
              <w:rPr>
                <w:rFonts w:hint="eastAsia" w:ascii="Times New Roman" w:hAnsi="Times New Roman"/>
                <w:color w:val="auto"/>
                <w:lang w:val="en-US" w:eastAsia="zh-CN"/>
              </w:rPr>
              <w:t>40</w:t>
            </w:r>
            <w:r>
              <w:rPr>
                <w:rFonts w:hint="eastAsia" w:ascii="Times New Roman" w:hAnsi="Times New Roman"/>
                <w:color w:val="auto"/>
              </w:rPr>
              <w:t>0</w:t>
            </w:r>
            <w:r>
              <w:rPr>
                <w:rFonts w:ascii="Times New Roman" w:hAnsi="Times New Roman"/>
                <w:color w:val="auto"/>
              </w:rPr>
              <w:t>/</w:t>
            </w:r>
            <w:r>
              <w:rPr>
                <w:rFonts w:hint="eastAsia" w:ascii="Times New Roman" w:hAnsi="Times New Roman"/>
                <w:color w:val="auto"/>
                <w:lang w:val="en-US" w:eastAsia="zh-CN"/>
              </w:rPr>
              <w:t>3</w:t>
            </w:r>
            <w:r>
              <w:rPr>
                <w:rFonts w:ascii="Times New Roman" w:hAnsi="Times New Roman"/>
                <w:color w:val="auto"/>
              </w:rPr>
              <w:t>5铝包钢芯铝绞线，新建铁塔1</w:t>
            </w:r>
            <w:r>
              <w:rPr>
                <w:rFonts w:hint="eastAsia" w:ascii="Times New Roman" w:hAnsi="Times New Roman"/>
                <w:color w:val="auto"/>
                <w:lang w:val="en-US" w:eastAsia="zh-CN"/>
              </w:rPr>
              <w:t>65</w:t>
            </w:r>
            <w:r>
              <w:rPr>
                <w:rFonts w:ascii="Times New Roman" w:hAnsi="Times New Roman"/>
                <w:color w:val="auto"/>
              </w:rPr>
              <w:t>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31" w:hRule="atLeast"/>
          <w:jc w:val="center"/>
        </w:trPr>
        <w:tc>
          <w:tcPr>
            <w:tcW w:w="8894" w:type="dxa"/>
            <w:gridSpan w:val="11"/>
            <w:tcBorders>
              <w:bottom w:val="single" w:color="auto" w:sz="6" w:space="0"/>
            </w:tcBorders>
            <w:vAlign w:val="top"/>
          </w:tcPr>
          <w:p>
            <w:pPr>
              <w:spacing w:line="360" w:lineRule="auto"/>
              <w:rPr>
                <w:rFonts w:ascii="Times New Roman" w:hAnsi="Times New Roman"/>
                <w:b/>
                <w:color w:val="auto"/>
              </w:rPr>
            </w:pPr>
            <w:r>
              <w:rPr>
                <w:rFonts w:ascii="Times New Roman" w:hAnsi="Times New Roman"/>
                <w:b/>
                <w:color w:val="auto"/>
              </w:rPr>
              <w:t>废水（工业废水</w:t>
            </w:r>
            <w:r>
              <w:rPr>
                <w:rFonts w:ascii="Times New Roman" w:hAnsi="Times New Roman"/>
                <w:b/>
                <w:color w:val="auto"/>
                <w:bdr w:val="single" w:color="auto" w:sz="4" w:space="0"/>
              </w:rPr>
              <w:t xml:space="preserve">  </w:t>
            </w:r>
            <w:r>
              <w:rPr>
                <w:rFonts w:ascii="Times New Roman" w:hAnsi="Times New Roman"/>
                <w:b/>
                <w:color w:val="auto"/>
              </w:rPr>
              <w:t>、生活污水</w:t>
            </w:r>
            <w:r>
              <w:rPr>
                <w:rFonts w:ascii="Times New Roman" w:hAnsi="Times New Roman"/>
                <w:b/>
                <w:color w:val="auto"/>
                <w:bdr w:val="single" w:color="auto" w:sz="4" w:space="0"/>
              </w:rPr>
              <w:t xml:space="preserve">  </w:t>
            </w:r>
            <w:r>
              <w:rPr>
                <w:rFonts w:ascii="Times New Roman" w:hAnsi="Times New Roman"/>
                <w:b/>
                <w:color w:val="auto"/>
              </w:rPr>
              <w:t xml:space="preserve">）排水量及排放去向 </w:t>
            </w:r>
          </w:p>
          <w:p>
            <w:pPr>
              <w:spacing w:line="360" w:lineRule="auto"/>
              <w:ind w:firstLine="420" w:firstLineChars="200"/>
              <w:rPr>
                <w:rFonts w:ascii="Times New Roman" w:hAnsi="Times New Roman"/>
                <w:color w:val="auto"/>
              </w:rPr>
            </w:pPr>
            <w:r>
              <w:rPr>
                <w:rFonts w:hint="eastAsia" w:ascii="Times New Roman" w:hAnsi="Times New Roman"/>
                <w:color w:val="auto"/>
                <w:lang w:val="en-US" w:eastAsia="zh-CN"/>
              </w:rPr>
              <w:t>22</w:t>
            </w:r>
            <w:r>
              <w:rPr>
                <w:rFonts w:ascii="Times New Roman" w:hAnsi="Times New Roman"/>
                <w:color w:val="auto"/>
              </w:rPr>
              <w:t>0kV输电线路运行不产生废水。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32" w:hRule="atLeast"/>
          <w:jc w:val="center"/>
        </w:trPr>
        <w:tc>
          <w:tcPr>
            <w:tcW w:w="8894" w:type="dxa"/>
            <w:gridSpan w:val="11"/>
            <w:tcBorders>
              <w:top w:val="single" w:color="auto" w:sz="6" w:space="0"/>
              <w:bottom w:val="single" w:color="auto" w:sz="4" w:space="0"/>
            </w:tcBorders>
            <w:vAlign w:val="top"/>
          </w:tcPr>
          <w:p>
            <w:pPr>
              <w:spacing w:line="360" w:lineRule="auto"/>
              <w:jc w:val="left"/>
              <w:rPr>
                <w:rFonts w:ascii="Times New Roman" w:hAnsi="Times New Roman"/>
                <w:b/>
                <w:color w:val="auto"/>
              </w:rPr>
            </w:pPr>
            <w:r>
              <w:rPr>
                <w:rFonts w:ascii="Times New Roman" w:hAnsi="Times New Roman"/>
                <w:b/>
                <w:color w:val="auto"/>
              </w:rPr>
              <w:t>输变电工程产生的电磁环境情况</w:t>
            </w:r>
          </w:p>
          <w:p>
            <w:pPr>
              <w:spacing w:line="360" w:lineRule="auto"/>
              <w:ind w:firstLine="420" w:firstLineChars="200"/>
              <w:rPr>
                <w:rFonts w:hint="eastAsia" w:ascii="Times New Roman" w:hAnsi="Times New Roman"/>
                <w:color w:val="auto"/>
              </w:rPr>
            </w:pPr>
            <w:r>
              <w:rPr>
                <w:rFonts w:hint="eastAsia" w:ascii="Times New Roman" w:hAnsi="Times New Roman"/>
                <w:color w:val="auto"/>
              </w:rPr>
              <w:t>22</w:t>
            </w:r>
            <w:r>
              <w:rPr>
                <w:rFonts w:ascii="Times New Roman" w:hAnsi="Times New Roman"/>
                <w:color w:val="auto"/>
              </w:rPr>
              <w:t>0kV输电线路在运行时会产生工频电场、工频磁场。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894" w:type="dxa"/>
            <w:gridSpan w:val="11"/>
            <w:vAlign w:val="top"/>
          </w:tcPr>
          <w:p>
            <w:pPr>
              <w:spacing w:line="360" w:lineRule="auto"/>
              <w:outlineLvl w:val="1"/>
              <w:rPr>
                <w:rFonts w:ascii="Times New Roman" w:hAnsi="Times New Roman"/>
                <w:b/>
                <w:color w:val="auto"/>
                <w:sz w:val="24"/>
                <w:szCs w:val="24"/>
              </w:rPr>
            </w:pPr>
            <w:r>
              <w:rPr>
                <w:rFonts w:ascii="Times New Roman" w:hAnsi="Times New Roman"/>
                <w:b/>
                <w:color w:val="auto"/>
                <w:sz w:val="24"/>
                <w:szCs w:val="24"/>
              </w:rPr>
              <w:t>1.1前言</w:t>
            </w:r>
          </w:p>
          <w:p>
            <w:pPr>
              <w:spacing w:line="360" w:lineRule="auto"/>
              <w:rPr>
                <w:rFonts w:ascii="Times New Roman" w:hAnsi="Times New Roman"/>
                <w:b/>
                <w:bCs/>
                <w:color w:val="auto"/>
              </w:rPr>
            </w:pPr>
            <w:r>
              <w:rPr>
                <w:rFonts w:ascii="Times New Roman" w:hAnsi="Times New Roman"/>
                <w:b/>
                <w:color w:val="auto"/>
              </w:rPr>
              <w:t>1.1.1</w:t>
            </w:r>
            <w:r>
              <w:rPr>
                <w:rFonts w:ascii="Times New Roman" w:hAnsi="Times New Roman"/>
                <w:b/>
                <w:bCs/>
                <w:color w:val="auto"/>
              </w:rPr>
              <w:t>编制依据</w:t>
            </w:r>
          </w:p>
          <w:p>
            <w:pPr>
              <w:spacing w:line="360" w:lineRule="auto"/>
              <w:rPr>
                <w:rFonts w:ascii="Times New Roman" w:hAnsi="Times New Roman"/>
                <w:b/>
                <w:color w:val="auto"/>
              </w:rPr>
            </w:pPr>
            <w:r>
              <w:rPr>
                <w:rFonts w:ascii="Times New Roman" w:hAnsi="Times New Roman"/>
                <w:b/>
                <w:color w:val="auto"/>
              </w:rPr>
              <w:t>1.1.1.1法律</w:t>
            </w:r>
            <w:r>
              <w:rPr>
                <w:rFonts w:ascii="Times New Roman" w:hAnsi="Times New Roman"/>
                <w:b/>
                <w:color w:val="auto"/>
                <w:szCs w:val="20"/>
              </w:rPr>
              <w:t>依据</w:t>
            </w:r>
          </w:p>
          <w:p>
            <w:pPr>
              <w:pStyle w:val="5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ascii="Times New Roman"/>
                <w:color w:val="auto"/>
                <w:sz w:val="21"/>
              </w:rPr>
            </w:pPr>
            <w:r>
              <w:rPr>
                <w:rFonts w:ascii="Times New Roman"/>
                <w:color w:val="auto"/>
                <w:sz w:val="21"/>
              </w:rPr>
              <w:t>（1）《中华人民共和国环境保护法》（</w:t>
            </w:r>
            <w:r>
              <w:rPr>
                <w:rFonts w:hint="eastAsia" w:ascii="Times New Roman"/>
                <w:color w:val="auto"/>
                <w:sz w:val="21"/>
              </w:rPr>
              <w:t>2014年</w:t>
            </w:r>
            <w:r>
              <w:rPr>
                <w:rFonts w:ascii="Times New Roman"/>
                <w:color w:val="auto"/>
                <w:sz w:val="21"/>
              </w:rPr>
              <w:t>修订本）2015年1月1日起施行；</w:t>
            </w:r>
          </w:p>
          <w:p>
            <w:pPr>
              <w:pStyle w:val="5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ascii="Times New Roman"/>
                <w:color w:val="auto"/>
                <w:sz w:val="21"/>
              </w:rPr>
            </w:pPr>
            <w:r>
              <w:rPr>
                <w:rFonts w:ascii="Times New Roman"/>
                <w:color w:val="auto"/>
                <w:sz w:val="21"/>
              </w:rPr>
              <w:t>（2）《中华人民共和国环境影响评价法》201</w:t>
            </w:r>
            <w:r>
              <w:rPr>
                <w:rFonts w:hint="eastAsia" w:ascii="Times New Roman"/>
                <w:color w:val="auto"/>
                <w:sz w:val="21"/>
              </w:rPr>
              <w:t>8</w:t>
            </w:r>
            <w:r>
              <w:rPr>
                <w:rFonts w:ascii="Times New Roman"/>
                <w:color w:val="auto"/>
                <w:sz w:val="21"/>
              </w:rPr>
              <w:t>年</w:t>
            </w:r>
            <w:r>
              <w:rPr>
                <w:rFonts w:hint="eastAsia" w:ascii="Times New Roman"/>
                <w:color w:val="auto"/>
                <w:sz w:val="21"/>
              </w:rPr>
              <w:t>12</w:t>
            </w:r>
            <w:r>
              <w:rPr>
                <w:rFonts w:ascii="Times New Roman"/>
                <w:color w:val="auto"/>
                <w:sz w:val="21"/>
              </w:rPr>
              <w:t>月</w:t>
            </w:r>
            <w:r>
              <w:rPr>
                <w:rFonts w:hint="eastAsia" w:ascii="Times New Roman"/>
                <w:color w:val="auto"/>
                <w:sz w:val="21"/>
              </w:rPr>
              <w:t>29</w:t>
            </w:r>
            <w:r>
              <w:rPr>
                <w:rFonts w:ascii="Times New Roman"/>
                <w:color w:val="auto"/>
                <w:sz w:val="21"/>
              </w:rPr>
              <w:t>日</w:t>
            </w:r>
            <w:r>
              <w:rPr>
                <w:rFonts w:hint="eastAsia" w:ascii="Times New Roman"/>
                <w:color w:val="auto"/>
                <w:sz w:val="21"/>
              </w:rPr>
              <w:t>修订并</w:t>
            </w:r>
            <w:r>
              <w:rPr>
                <w:rFonts w:ascii="Times New Roman"/>
                <w:color w:val="auto"/>
                <w:sz w:val="21"/>
              </w:rPr>
              <w:t>施行；</w:t>
            </w:r>
          </w:p>
          <w:p>
            <w:pPr>
              <w:pStyle w:val="5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ascii="Times New Roman"/>
                <w:color w:val="auto"/>
                <w:sz w:val="21"/>
              </w:rPr>
            </w:pPr>
            <w:r>
              <w:rPr>
                <w:rFonts w:ascii="Times New Roman"/>
                <w:color w:val="auto"/>
                <w:sz w:val="21"/>
              </w:rPr>
              <w:t>（3）《中华人民共和国水污染防治法》（</w:t>
            </w:r>
            <w:r>
              <w:rPr>
                <w:rFonts w:hint="eastAsia" w:ascii="Times New Roman"/>
                <w:color w:val="auto"/>
                <w:sz w:val="21"/>
              </w:rPr>
              <w:t>2017年修订版</w:t>
            </w:r>
            <w:r>
              <w:rPr>
                <w:rFonts w:ascii="Times New Roman"/>
                <w:color w:val="auto"/>
                <w:sz w:val="21"/>
              </w:rPr>
              <w:t>）20</w:t>
            </w:r>
            <w:r>
              <w:rPr>
                <w:rFonts w:hint="eastAsia" w:ascii="Times New Roman"/>
                <w:color w:val="auto"/>
                <w:sz w:val="21"/>
              </w:rPr>
              <w:t>1</w:t>
            </w:r>
            <w:r>
              <w:rPr>
                <w:rFonts w:ascii="Times New Roman"/>
                <w:color w:val="auto"/>
                <w:sz w:val="21"/>
              </w:rPr>
              <w:t>8年</w:t>
            </w:r>
            <w:r>
              <w:rPr>
                <w:rFonts w:hint="eastAsia" w:ascii="Times New Roman"/>
                <w:color w:val="auto"/>
                <w:sz w:val="21"/>
              </w:rPr>
              <w:t>1</w:t>
            </w:r>
            <w:r>
              <w:rPr>
                <w:rFonts w:ascii="Times New Roman"/>
                <w:color w:val="auto"/>
                <w:sz w:val="21"/>
              </w:rPr>
              <w:t>月1日起施行；</w:t>
            </w:r>
          </w:p>
          <w:p>
            <w:pPr>
              <w:pStyle w:val="5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ascii="Times New Roman"/>
                <w:color w:val="auto"/>
                <w:sz w:val="21"/>
              </w:rPr>
            </w:pPr>
            <w:r>
              <w:rPr>
                <w:rFonts w:ascii="Times New Roman"/>
                <w:color w:val="auto"/>
                <w:sz w:val="21"/>
              </w:rPr>
              <w:t>（4）《中华人民共和国大气污染防治法》201</w:t>
            </w:r>
            <w:r>
              <w:rPr>
                <w:rFonts w:hint="eastAsia" w:ascii="Times New Roman"/>
                <w:color w:val="auto"/>
                <w:sz w:val="21"/>
              </w:rPr>
              <w:t>8</w:t>
            </w:r>
            <w:r>
              <w:rPr>
                <w:rFonts w:ascii="Times New Roman"/>
                <w:color w:val="auto"/>
                <w:sz w:val="21"/>
              </w:rPr>
              <w:t>年</w:t>
            </w:r>
            <w:r>
              <w:rPr>
                <w:rFonts w:hint="eastAsia" w:ascii="Times New Roman"/>
                <w:color w:val="auto"/>
                <w:sz w:val="21"/>
              </w:rPr>
              <w:t>10</w:t>
            </w:r>
            <w:r>
              <w:rPr>
                <w:rFonts w:ascii="Times New Roman"/>
                <w:color w:val="auto"/>
                <w:sz w:val="21"/>
              </w:rPr>
              <w:t>月</w:t>
            </w:r>
            <w:r>
              <w:rPr>
                <w:rFonts w:hint="eastAsia" w:ascii="Times New Roman"/>
                <w:color w:val="auto"/>
                <w:sz w:val="21"/>
              </w:rPr>
              <w:t>26</w:t>
            </w:r>
            <w:r>
              <w:rPr>
                <w:rFonts w:ascii="Times New Roman"/>
                <w:color w:val="auto"/>
                <w:sz w:val="21"/>
              </w:rPr>
              <w:t>日</w:t>
            </w:r>
            <w:r>
              <w:rPr>
                <w:rFonts w:hint="eastAsia" w:ascii="Times New Roman"/>
                <w:color w:val="auto"/>
                <w:sz w:val="21"/>
              </w:rPr>
              <w:t>修正并</w:t>
            </w:r>
            <w:r>
              <w:rPr>
                <w:rFonts w:ascii="Times New Roman"/>
                <w:color w:val="auto"/>
                <w:sz w:val="21"/>
              </w:rPr>
              <w:t>施行；</w:t>
            </w:r>
          </w:p>
          <w:p>
            <w:pPr>
              <w:pStyle w:val="5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ascii="Times New Roman"/>
                <w:color w:val="auto"/>
                <w:sz w:val="21"/>
              </w:rPr>
            </w:pPr>
            <w:r>
              <w:rPr>
                <w:rFonts w:ascii="Times New Roman"/>
                <w:color w:val="auto"/>
                <w:sz w:val="21"/>
              </w:rPr>
              <w:t>（5）《中华人民共和国环境噪声污染防治法》201</w:t>
            </w:r>
            <w:r>
              <w:rPr>
                <w:rFonts w:hint="eastAsia" w:ascii="Times New Roman"/>
                <w:color w:val="auto"/>
                <w:sz w:val="21"/>
              </w:rPr>
              <w:t>8</w:t>
            </w:r>
            <w:r>
              <w:rPr>
                <w:rFonts w:ascii="Times New Roman"/>
                <w:color w:val="auto"/>
                <w:sz w:val="21"/>
              </w:rPr>
              <w:t>年</w:t>
            </w:r>
            <w:r>
              <w:rPr>
                <w:rFonts w:hint="eastAsia" w:ascii="Times New Roman"/>
                <w:color w:val="auto"/>
                <w:sz w:val="21"/>
              </w:rPr>
              <w:t>12</w:t>
            </w:r>
            <w:r>
              <w:rPr>
                <w:rFonts w:ascii="Times New Roman"/>
                <w:color w:val="auto"/>
                <w:sz w:val="21"/>
              </w:rPr>
              <w:t>月</w:t>
            </w:r>
            <w:r>
              <w:rPr>
                <w:rFonts w:hint="eastAsia" w:ascii="Times New Roman"/>
                <w:color w:val="auto"/>
                <w:sz w:val="21"/>
              </w:rPr>
              <w:t>29</w:t>
            </w:r>
            <w:r>
              <w:rPr>
                <w:rFonts w:ascii="Times New Roman"/>
                <w:color w:val="auto"/>
                <w:sz w:val="21"/>
              </w:rPr>
              <w:t>日</w:t>
            </w:r>
            <w:r>
              <w:rPr>
                <w:rFonts w:hint="eastAsia" w:ascii="Times New Roman"/>
                <w:color w:val="auto"/>
                <w:sz w:val="21"/>
              </w:rPr>
              <w:t>修订并</w:t>
            </w:r>
            <w:r>
              <w:rPr>
                <w:rFonts w:ascii="Times New Roman"/>
                <w:color w:val="auto"/>
                <w:sz w:val="21"/>
              </w:rPr>
              <w:t>施行；</w:t>
            </w:r>
          </w:p>
          <w:p>
            <w:pPr>
              <w:pStyle w:val="55"/>
              <w:keepNext w:val="0"/>
              <w:keepLines w:val="0"/>
              <w:pageBreakBefore w:val="0"/>
              <w:widowControl w:val="0"/>
              <w:kinsoku/>
              <w:wordWrap/>
              <w:overflowPunct/>
              <w:topLinePunct w:val="0"/>
              <w:autoSpaceDE/>
              <w:autoSpaceDN/>
              <w:bidi w:val="0"/>
              <w:snapToGrid w:val="0"/>
              <w:spacing w:line="360" w:lineRule="auto"/>
              <w:ind w:firstLine="420" w:firstLineChars="200"/>
              <w:contextualSpacing/>
              <w:textAlignment w:val="auto"/>
              <w:outlineLvl w:val="9"/>
              <w:rPr>
                <w:rFonts w:ascii="Times New Roman"/>
                <w:color w:val="auto"/>
                <w:sz w:val="21"/>
              </w:rPr>
            </w:pPr>
            <w:r>
              <w:rPr>
                <w:rFonts w:ascii="Times New Roman"/>
                <w:color w:val="auto"/>
                <w:sz w:val="21"/>
              </w:rPr>
              <w:t>（6）《中华人民共和国固体废物污染环境防治法》201</w:t>
            </w:r>
            <w:r>
              <w:rPr>
                <w:rFonts w:hint="eastAsia" w:ascii="Times New Roman"/>
                <w:color w:val="auto"/>
                <w:sz w:val="21"/>
              </w:rPr>
              <w:t>6</w:t>
            </w:r>
            <w:r>
              <w:rPr>
                <w:rFonts w:ascii="Times New Roman"/>
                <w:color w:val="auto"/>
                <w:sz w:val="21"/>
              </w:rPr>
              <w:t>年</w:t>
            </w:r>
            <w:r>
              <w:rPr>
                <w:rFonts w:hint="eastAsia" w:ascii="Times New Roman"/>
                <w:color w:val="auto"/>
                <w:sz w:val="21"/>
              </w:rPr>
              <w:t>11</w:t>
            </w:r>
            <w:r>
              <w:rPr>
                <w:rFonts w:ascii="Times New Roman"/>
                <w:color w:val="auto"/>
                <w:sz w:val="21"/>
              </w:rPr>
              <w:t>月</w:t>
            </w:r>
            <w:r>
              <w:rPr>
                <w:rFonts w:hint="eastAsia" w:ascii="Times New Roman"/>
                <w:color w:val="auto"/>
                <w:sz w:val="21"/>
              </w:rPr>
              <w:t>7</w:t>
            </w:r>
            <w:r>
              <w:rPr>
                <w:rFonts w:ascii="Times New Roman"/>
                <w:color w:val="auto"/>
                <w:sz w:val="21"/>
              </w:rPr>
              <w:t>日</w:t>
            </w:r>
            <w:r>
              <w:rPr>
                <w:rFonts w:hint="eastAsia" w:ascii="Times New Roman"/>
                <w:color w:val="auto"/>
                <w:sz w:val="21"/>
              </w:rPr>
              <w:t>修订并</w:t>
            </w:r>
            <w:r>
              <w:rPr>
                <w:rFonts w:ascii="Times New Roman"/>
                <w:color w:val="auto"/>
                <w:sz w:val="21"/>
              </w:rPr>
              <w:t>施行。</w:t>
            </w:r>
          </w:p>
          <w:p>
            <w:pPr>
              <w:pStyle w:val="55"/>
              <w:keepNext w:val="0"/>
              <w:keepLines w:val="0"/>
              <w:pageBreakBefore w:val="0"/>
              <w:widowControl w:val="0"/>
              <w:kinsoku/>
              <w:wordWrap/>
              <w:overflowPunct/>
              <w:topLinePunct w:val="0"/>
              <w:autoSpaceDE/>
              <w:autoSpaceDN/>
              <w:bidi w:val="0"/>
              <w:snapToGrid w:val="0"/>
              <w:spacing w:line="360" w:lineRule="auto"/>
              <w:ind w:firstLine="420" w:firstLineChars="200"/>
              <w:contextualSpacing/>
              <w:textAlignment w:val="auto"/>
              <w:outlineLvl w:val="9"/>
              <w:rPr>
                <w:rFonts w:ascii="Times New Roman"/>
                <w:color w:val="auto"/>
                <w:sz w:val="21"/>
                <w:szCs w:val="21"/>
              </w:rPr>
            </w:pPr>
            <w:r>
              <w:rPr>
                <w:rFonts w:ascii="Times New Roman"/>
                <w:color w:val="auto"/>
                <w:sz w:val="21"/>
              </w:rPr>
              <w:t>（7）《中华人民共和国城乡规划法》（2015年修正本）2015年4月24日起施行；。</w:t>
            </w:r>
          </w:p>
          <w:p>
            <w:pPr>
              <w:spacing w:line="360" w:lineRule="auto"/>
              <w:rPr>
                <w:rFonts w:ascii="Times New Roman" w:hAnsi="Times New Roman"/>
                <w:b/>
                <w:color w:val="auto"/>
              </w:rPr>
            </w:pPr>
            <w:r>
              <w:rPr>
                <w:rFonts w:ascii="Times New Roman" w:hAnsi="Times New Roman"/>
                <w:b/>
                <w:color w:val="auto"/>
              </w:rPr>
              <w:t>1.1.1.2法规</w:t>
            </w:r>
            <w:r>
              <w:rPr>
                <w:rFonts w:ascii="Times New Roman" w:hAnsi="Times New Roman"/>
                <w:b/>
                <w:color w:val="auto"/>
                <w:szCs w:val="20"/>
              </w:rPr>
              <w:t>依据</w:t>
            </w:r>
          </w:p>
          <w:p>
            <w:pPr>
              <w:pStyle w:val="55"/>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outlineLvl w:val="9"/>
              <w:rPr>
                <w:rFonts w:ascii="Times New Roman"/>
                <w:color w:val="auto"/>
                <w:sz w:val="21"/>
              </w:rPr>
            </w:pPr>
            <w:r>
              <w:rPr>
                <w:rFonts w:ascii="Times New Roman"/>
                <w:color w:val="auto"/>
                <w:sz w:val="21"/>
              </w:rPr>
              <w:t>（1）《建设项目环境保护管理条例》中华人民共和国国务院令第</w:t>
            </w:r>
            <w:r>
              <w:rPr>
                <w:rFonts w:hint="eastAsia" w:ascii="Times New Roman"/>
                <w:color w:val="auto"/>
                <w:sz w:val="21"/>
              </w:rPr>
              <w:t>682</w:t>
            </w:r>
            <w:r>
              <w:rPr>
                <w:rFonts w:ascii="Times New Roman"/>
                <w:color w:val="auto"/>
                <w:sz w:val="21"/>
              </w:rPr>
              <w:t>号；</w:t>
            </w:r>
          </w:p>
          <w:p>
            <w:pPr>
              <w:pStyle w:val="55"/>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outlineLvl w:val="9"/>
              <w:rPr>
                <w:rFonts w:ascii="Times New Roman"/>
                <w:color w:val="auto"/>
                <w:sz w:val="21"/>
              </w:rPr>
            </w:pPr>
            <w:r>
              <w:rPr>
                <w:rFonts w:ascii="Times New Roman"/>
                <w:color w:val="auto"/>
                <w:sz w:val="21"/>
              </w:rPr>
              <w:t>（2）《建设项目环境影响评价分类管理名录》中华人民共和国</w:t>
            </w:r>
            <w:r>
              <w:rPr>
                <w:rFonts w:hint="eastAsia" w:ascii="Times New Roman"/>
                <w:color w:val="auto"/>
                <w:sz w:val="21"/>
              </w:rPr>
              <w:t>生态</w:t>
            </w:r>
            <w:r>
              <w:rPr>
                <w:rFonts w:ascii="Times New Roman"/>
                <w:color w:val="auto"/>
                <w:sz w:val="21"/>
              </w:rPr>
              <w:t>环境部令第</w:t>
            </w:r>
            <w:r>
              <w:rPr>
                <w:rFonts w:hint="eastAsia" w:ascii="Times New Roman"/>
                <w:color w:val="auto"/>
                <w:sz w:val="21"/>
              </w:rPr>
              <w:t>1号（2018年</w:t>
            </w:r>
            <w:r>
              <w:rPr>
                <w:rFonts w:ascii="Times New Roman"/>
                <w:color w:val="auto"/>
                <w:sz w:val="21"/>
              </w:rPr>
              <w:t>修正</w:t>
            </w:r>
            <w:r>
              <w:rPr>
                <w:rFonts w:hint="eastAsia" w:ascii="Times New Roman"/>
                <w:color w:val="auto"/>
                <w:sz w:val="21"/>
              </w:rPr>
              <w:t>）</w:t>
            </w:r>
            <w:r>
              <w:rPr>
                <w:rFonts w:ascii="Times New Roman"/>
                <w:color w:val="auto"/>
                <w:sz w:val="21"/>
              </w:rPr>
              <w:t>；</w:t>
            </w:r>
          </w:p>
          <w:p>
            <w:pPr>
              <w:pStyle w:val="55"/>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outlineLvl w:val="9"/>
              <w:rPr>
                <w:rFonts w:ascii="Times New Roman"/>
                <w:color w:val="auto"/>
                <w:sz w:val="21"/>
              </w:rPr>
            </w:pPr>
            <w:r>
              <w:rPr>
                <w:rFonts w:hint="eastAsia" w:ascii="Times New Roman"/>
                <w:color w:val="auto"/>
                <w:sz w:val="21"/>
                <w:szCs w:val="22"/>
                <w:lang w:eastAsia="zh-CN"/>
              </w:rPr>
              <w:t>（</w:t>
            </w:r>
            <w:r>
              <w:rPr>
                <w:rFonts w:hint="eastAsia" w:ascii="Times New Roman"/>
                <w:color w:val="auto"/>
                <w:sz w:val="21"/>
                <w:szCs w:val="22"/>
                <w:lang w:val="en-US" w:eastAsia="zh-CN"/>
              </w:rPr>
              <w:t>3</w:t>
            </w:r>
            <w:r>
              <w:rPr>
                <w:rFonts w:hint="eastAsia" w:ascii="Times New Roman"/>
                <w:color w:val="auto"/>
                <w:sz w:val="21"/>
                <w:szCs w:val="22"/>
                <w:lang w:eastAsia="zh-CN"/>
              </w:rPr>
              <w:t>）</w:t>
            </w:r>
            <w:r>
              <w:rPr>
                <w:rFonts w:ascii="Times New Roman"/>
                <w:color w:val="auto"/>
                <w:sz w:val="21"/>
                <w:szCs w:val="22"/>
              </w:rPr>
              <w:t>《建设项目环境影响报告书（表）编制监督管理办法》中华人民共和国</w:t>
            </w:r>
            <w:r>
              <w:rPr>
                <w:rFonts w:hint="eastAsia" w:ascii="Times New Roman"/>
                <w:color w:val="auto"/>
                <w:sz w:val="21"/>
                <w:szCs w:val="22"/>
              </w:rPr>
              <w:t>生态</w:t>
            </w:r>
            <w:r>
              <w:rPr>
                <w:rFonts w:ascii="Times New Roman"/>
                <w:color w:val="auto"/>
                <w:sz w:val="21"/>
                <w:szCs w:val="22"/>
              </w:rPr>
              <w:t>环境部令第</w:t>
            </w:r>
            <w:r>
              <w:rPr>
                <w:rFonts w:hint="eastAsia" w:ascii="Times New Roman"/>
                <w:color w:val="auto"/>
                <w:sz w:val="21"/>
                <w:szCs w:val="22"/>
                <w:lang w:val="en-US" w:eastAsia="zh-CN"/>
              </w:rPr>
              <w:t>9</w:t>
            </w:r>
            <w:r>
              <w:rPr>
                <w:rFonts w:hint="eastAsia" w:ascii="Times New Roman"/>
                <w:color w:val="auto"/>
                <w:sz w:val="21"/>
                <w:szCs w:val="22"/>
              </w:rPr>
              <w:t>号（201</w:t>
            </w:r>
            <w:r>
              <w:rPr>
                <w:rFonts w:hint="eastAsia" w:ascii="Times New Roman"/>
                <w:color w:val="auto"/>
                <w:sz w:val="21"/>
                <w:szCs w:val="22"/>
                <w:lang w:val="en-US" w:eastAsia="zh-CN"/>
              </w:rPr>
              <w:t>9</w:t>
            </w:r>
            <w:r>
              <w:rPr>
                <w:rFonts w:hint="eastAsia" w:ascii="Times New Roman"/>
                <w:color w:val="auto"/>
                <w:sz w:val="21"/>
                <w:szCs w:val="22"/>
              </w:rPr>
              <w:t>年</w:t>
            </w:r>
            <w:r>
              <w:rPr>
                <w:rFonts w:hint="eastAsia" w:ascii="Times New Roman"/>
                <w:color w:val="auto"/>
                <w:sz w:val="21"/>
                <w:szCs w:val="22"/>
                <w:lang w:val="en-US" w:eastAsia="zh-CN"/>
              </w:rPr>
              <w:t>11月1日起施行</w:t>
            </w:r>
            <w:r>
              <w:rPr>
                <w:rFonts w:hint="eastAsia" w:ascii="Times New Roman"/>
                <w:color w:val="auto"/>
                <w:sz w:val="21"/>
                <w:szCs w:val="22"/>
              </w:rPr>
              <w:t>）</w:t>
            </w:r>
            <w:r>
              <w:rPr>
                <w:rFonts w:hint="eastAsia" w:ascii="Times New Roman"/>
                <w:color w:val="auto"/>
                <w:sz w:val="21"/>
                <w:szCs w:val="22"/>
                <w:lang w:eastAsia="zh-CN"/>
              </w:rPr>
              <w:t>；</w:t>
            </w:r>
          </w:p>
          <w:p>
            <w:pPr>
              <w:pStyle w:val="55"/>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outlineLvl w:val="9"/>
              <w:rPr>
                <w:rFonts w:hint="eastAsia" w:ascii="Times New Roman"/>
                <w:color w:val="auto"/>
                <w:sz w:val="21"/>
              </w:rPr>
            </w:pPr>
            <w:r>
              <w:rPr>
                <w:rFonts w:hint="eastAsia" w:ascii="Times New Roman"/>
                <w:color w:val="auto"/>
                <w:sz w:val="21"/>
              </w:rPr>
              <w:t>（</w:t>
            </w:r>
            <w:r>
              <w:rPr>
                <w:rFonts w:hint="eastAsia" w:ascii="Times New Roman"/>
                <w:color w:val="auto"/>
                <w:sz w:val="21"/>
                <w:lang w:val="en-US" w:eastAsia="zh-CN"/>
              </w:rPr>
              <w:t>4</w:t>
            </w:r>
            <w:r>
              <w:rPr>
                <w:rFonts w:hint="eastAsia" w:ascii="Times New Roman"/>
                <w:color w:val="auto"/>
                <w:sz w:val="21"/>
              </w:rPr>
              <w:t>）</w:t>
            </w:r>
            <w:r>
              <w:rPr>
                <w:rFonts w:ascii="Times New Roman"/>
                <w:color w:val="auto"/>
                <w:sz w:val="21"/>
              </w:rPr>
              <w:t>《环保部办公厅关于进一步加强输变电类建设项目环境保护监管工作的通知》环境保护部 环办[2012]131号；</w:t>
            </w:r>
          </w:p>
          <w:p>
            <w:pPr>
              <w:pStyle w:val="55"/>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outlineLvl w:val="9"/>
              <w:rPr>
                <w:rFonts w:ascii="Times New Roman"/>
                <w:color w:val="auto"/>
                <w:sz w:val="21"/>
              </w:rPr>
            </w:pPr>
            <w:r>
              <w:rPr>
                <w:rFonts w:ascii="Times New Roman"/>
                <w:color w:val="auto"/>
                <w:sz w:val="21"/>
              </w:rPr>
              <w:t>（</w:t>
            </w:r>
            <w:r>
              <w:rPr>
                <w:rFonts w:hint="eastAsia" w:ascii="Times New Roman"/>
                <w:color w:val="auto"/>
                <w:sz w:val="21"/>
                <w:lang w:val="en-US" w:eastAsia="zh-CN"/>
              </w:rPr>
              <w:t>5</w:t>
            </w:r>
            <w:r>
              <w:rPr>
                <w:rFonts w:ascii="Times New Roman"/>
                <w:color w:val="auto"/>
                <w:sz w:val="21"/>
              </w:rPr>
              <w:t>）《国家重点生态功能保护区规划纲要》原国家环保总局环发</w:t>
            </w:r>
            <w:r>
              <w:rPr>
                <w:rFonts w:hint="eastAsia" w:ascii="Times New Roman"/>
                <w:color w:val="auto"/>
                <w:sz w:val="21"/>
              </w:rPr>
              <w:t>[</w:t>
            </w:r>
            <w:r>
              <w:rPr>
                <w:rFonts w:ascii="Times New Roman"/>
                <w:color w:val="auto"/>
                <w:sz w:val="21"/>
              </w:rPr>
              <w:t>20</w:t>
            </w:r>
            <w:r>
              <w:rPr>
                <w:rFonts w:hint="eastAsia" w:ascii="Times New Roman"/>
                <w:color w:val="auto"/>
                <w:sz w:val="21"/>
              </w:rPr>
              <w:t>07]</w:t>
            </w:r>
            <w:r>
              <w:rPr>
                <w:rFonts w:ascii="Times New Roman"/>
                <w:color w:val="auto"/>
                <w:sz w:val="21"/>
              </w:rPr>
              <w:t xml:space="preserve">165号，2007年10月31日起执行； </w:t>
            </w:r>
          </w:p>
          <w:p>
            <w:pPr>
              <w:pStyle w:val="55"/>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outlineLvl w:val="9"/>
              <w:rPr>
                <w:rFonts w:ascii="Times New Roman"/>
                <w:color w:val="auto"/>
                <w:sz w:val="21"/>
              </w:rPr>
            </w:pPr>
            <w:r>
              <w:rPr>
                <w:rFonts w:ascii="Times New Roman"/>
                <w:color w:val="auto"/>
                <w:sz w:val="21"/>
              </w:rPr>
              <w:t>（</w:t>
            </w:r>
            <w:r>
              <w:rPr>
                <w:rFonts w:hint="eastAsia" w:ascii="Times New Roman"/>
                <w:color w:val="auto"/>
                <w:sz w:val="21"/>
                <w:lang w:val="en-US" w:eastAsia="zh-CN"/>
              </w:rPr>
              <w:t>6</w:t>
            </w:r>
            <w:r>
              <w:rPr>
                <w:rFonts w:ascii="Times New Roman"/>
                <w:color w:val="auto"/>
                <w:sz w:val="21"/>
              </w:rPr>
              <w:t>）《全国生态环境保护纲要》，2000年12月20日；</w:t>
            </w:r>
          </w:p>
          <w:p>
            <w:pPr>
              <w:pStyle w:val="55"/>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outlineLvl w:val="9"/>
              <w:rPr>
                <w:rFonts w:ascii="Times New Roman"/>
                <w:color w:val="auto"/>
                <w:sz w:val="21"/>
              </w:rPr>
            </w:pPr>
            <w:r>
              <w:rPr>
                <w:rFonts w:ascii="Times New Roman"/>
                <w:color w:val="auto"/>
                <w:sz w:val="21"/>
              </w:rPr>
              <w:t>（</w:t>
            </w:r>
            <w:r>
              <w:rPr>
                <w:rFonts w:hint="eastAsia" w:ascii="Times New Roman"/>
                <w:color w:val="auto"/>
                <w:sz w:val="21"/>
                <w:lang w:val="en-US" w:eastAsia="zh-CN"/>
              </w:rPr>
              <w:t>7</w:t>
            </w:r>
            <w:r>
              <w:rPr>
                <w:rFonts w:ascii="Times New Roman"/>
                <w:color w:val="auto"/>
                <w:sz w:val="21"/>
              </w:rPr>
              <w:t>）《关于进一步加强环境影响评价管理防范环境风险的通知》环境保护部</w:t>
            </w:r>
            <w:r>
              <w:rPr>
                <w:rFonts w:hint="eastAsia" w:ascii="Times New Roman"/>
                <w:color w:val="auto"/>
                <w:sz w:val="21"/>
              </w:rPr>
              <w:t xml:space="preserve"> </w:t>
            </w:r>
            <w:r>
              <w:rPr>
                <w:rFonts w:ascii="Times New Roman"/>
                <w:color w:val="auto"/>
                <w:sz w:val="21"/>
              </w:rPr>
              <w:t>环发[2012]77号；</w:t>
            </w:r>
          </w:p>
          <w:p>
            <w:pPr>
              <w:pStyle w:val="55"/>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outlineLvl w:val="9"/>
              <w:rPr>
                <w:rFonts w:ascii="Times New Roman"/>
                <w:color w:val="auto"/>
                <w:sz w:val="21"/>
              </w:rPr>
            </w:pPr>
            <w:r>
              <w:rPr>
                <w:rFonts w:ascii="Times New Roman"/>
                <w:color w:val="auto"/>
                <w:sz w:val="21"/>
              </w:rPr>
              <w:t>（</w:t>
            </w:r>
            <w:r>
              <w:rPr>
                <w:rFonts w:hint="eastAsia" w:ascii="Times New Roman"/>
                <w:color w:val="auto"/>
                <w:sz w:val="21"/>
                <w:lang w:val="en-US" w:eastAsia="zh-CN"/>
              </w:rPr>
              <w:t>8</w:t>
            </w:r>
            <w:r>
              <w:rPr>
                <w:rFonts w:ascii="Times New Roman"/>
                <w:color w:val="auto"/>
                <w:sz w:val="21"/>
              </w:rPr>
              <w:t>）《关于切实加强风险防范严格环境影响评价管理的通知》环境保护部</w:t>
            </w:r>
            <w:r>
              <w:rPr>
                <w:rFonts w:hint="eastAsia" w:ascii="Times New Roman"/>
                <w:color w:val="auto"/>
                <w:sz w:val="21"/>
              </w:rPr>
              <w:t xml:space="preserve"> </w:t>
            </w:r>
            <w:r>
              <w:rPr>
                <w:rFonts w:ascii="Times New Roman"/>
                <w:color w:val="auto"/>
                <w:sz w:val="21"/>
              </w:rPr>
              <w:t>环发[2012]98号；</w:t>
            </w:r>
          </w:p>
          <w:p>
            <w:pPr>
              <w:pStyle w:val="55"/>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outlineLvl w:val="9"/>
              <w:rPr>
                <w:rFonts w:ascii="Times New Roman"/>
                <w:color w:val="auto"/>
                <w:sz w:val="21"/>
              </w:rPr>
            </w:pPr>
            <w:r>
              <w:rPr>
                <w:rFonts w:ascii="Times New Roman"/>
                <w:color w:val="auto"/>
                <w:sz w:val="21"/>
              </w:rPr>
              <w:t>（</w:t>
            </w:r>
            <w:r>
              <w:rPr>
                <w:rFonts w:hint="eastAsia" w:ascii="Times New Roman"/>
                <w:color w:val="auto"/>
                <w:sz w:val="21"/>
                <w:lang w:val="en-US" w:eastAsia="zh-CN"/>
              </w:rPr>
              <w:t>9</w:t>
            </w:r>
            <w:r>
              <w:rPr>
                <w:rFonts w:ascii="Times New Roman"/>
                <w:color w:val="auto"/>
                <w:sz w:val="21"/>
              </w:rPr>
              <w:t>）</w:t>
            </w:r>
            <w:r>
              <w:rPr>
                <w:rFonts w:hint="eastAsia" w:ascii="Times New Roman"/>
                <w:color w:val="auto"/>
                <w:sz w:val="21"/>
              </w:rPr>
              <w:t>《海南省环境保护条例》</w:t>
            </w:r>
            <w:r>
              <w:rPr>
                <w:rFonts w:ascii="Times New Roman"/>
                <w:color w:val="auto"/>
                <w:sz w:val="21"/>
              </w:rPr>
              <w:t>海南省人民代表大会常务委员会</w:t>
            </w:r>
            <w:r>
              <w:rPr>
                <w:rFonts w:hint="eastAsia" w:ascii="Times New Roman"/>
                <w:color w:val="auto"/>
                <w:sz w:val="21"/>
              </w:rPr>
              <w:t>，2017年11月30日修正；</w:t>
            </w:r>
          </w:p>
          <w:p>
            <w:pPr>
              <w:pStyle w:val="55"/>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outlineLvl w:val="9"/>
              <w:rPr>
                <w:rFonts w:ascii="Times New Roman"/>
                <w:color w:val="auto"/>
                <w:sz w:val="21"/>
              </w:rPr>
            </w:pPr>
            <w:r>
              <w:rPr>
                <w:rFonts w:ascii="Times New Roman"/>
                <w:color w:val="auto"/>
                <w:sz w:val="21"/>
              </w:rPr>
              <w:t>（</w:t>
            </w:r>
            <w:r>
              <w:rPr>
                <w:rFonts w:hint="eastAsia" w:ascii="Times New Roman"/>
                <w:color w:val="auto"/>
                <w:sz w:val="21"/>
                <w:lang w:val="en-US" w:eastAsia="zh-CN"/>
              </w:rPr>
              <w:t>10</w:t>
            </w:r>
            <w:r>
              <w:rPr>
                <w:rFonts w:ascii="Times New Roman"/>
                <w:color w:val="auto"/>
                <w:sz w:val="21"/>
              </w:rPr>
              <w:t>）</w:t>
            </w:r>
            <w:r>
              <w:rPr>
                <w:rFonts w:hint="eastAsia" w:ascii="Times New Roman"/>
                <w:color w:val="auto"/>
                <w:spacing w:val="-6"/>
                <w:sz w:val="21"/>
              </w:rPr>
              <w:t>《</w:t>
            </w:r>
            <w:r>
              <w:rPr>
                <w:rFonts w:ascii="Times New Roman"/>
                <w:color w:val="auto"/>
                <w:spacing w:val="-6"/>
                <w:sz w:val="21"/>
              </w:rPr>
              <w:t>海南省人民政府关于划定海南省生态保护红线的通告</w:t>
            </w:r>
            <w:r>
              <w:rPr>
                <w:rFonts w:hint="eastAsia" w:ascii="Times New Roman"/>
                <w:color w:val="auto"/>
                <w:spacing w:val="-6"/>
                <w:sz w:val="21"/>
              </w:rPr>
              <w:t>》</w:t>
            </w:r>
            <w:r>
              <w:rPr>
                <w:rFonts w:ascii="Times New Roman"/>
                <w:color w:val="auto"/>
                <w:spacing w:val="-6"/>
                <w:sz w:val="21"/>
              </w:rPr>
              <w:t>海南省人民政府，琼府</w:t>
            </w:r>
            <w:r>
              <w:rPr>
                <w:rFonts w:hint="eastAsia" w:ascii="Times New Roman"/>
                <w:color w:val="auto"/>
                <w:spacing w:val="-6"/>
                <w:sz w:val="21"/>
              </w:rPr>
              <w:t>办[</w:t>
            </w:r>
            <w:r>
              <w:rPr>
                <w:rFonts w:ascii="Times New Roman"/>
                <w:color w:val="auto"/>
                <w:spacing w:val="-6"/>
                <w:sz w:val="21"/>
              </w:rPr>
              <w:t>2016</w:t>
            </w:r>
            <w:r>
              <w:rPr>
                <w:rFonts w:hint="eastAsia" w:ascii="Times New Roman"/>
                <w:color w:val="auto"/>
                <w:spacing w:val="-6"/>
                <w:sz w:val="21"/>
              </w:rPr>
              <w:t>]</w:t>
            </w:r>
            <w:r>
              <w:rPr>
                <w:rFonts w:ascii="Times New Roman"/>
                <w:color w:val="auto"/>
                <w:spacing w:val="-6"/>
                <w:sz w:val="21"/>
              </w:rPr>
              <w:t>90号</w:t>
            </w:r>
            <w:r>
              <w:rPr>
                <w:rFonts w:ascii="Times New Roman"/>
                <w:color w:val="auto"/>
                <w:sz w:val="21"/>
              </w:rPr>
              <w:t>；</w:t>
            </w:r>
          </w:p>
          <w:p>
            <w:pPr>
              <w:pStyle w:val="55"/>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0" w:firstLineChars="200"/>
              <w:contextualSpacing/>
              <w:textAlignment w:val="auto"/>
              <w:outlineLvl w:val="9"/>
              <w:rPr>
                <w:rFonts w:hint="eastAsia" w:ascii="Times New Roman"/>
                <w:color w:val="auto"/>
                <w:sz w:val="21"/>
                <w:lang w:eastAsia="zh-CN"/>
              </w:rPr>
            </w:pPr>
            <w:r>
              <w:rPr>
                <w:rFonts w:ascii="Times New Roman"/>
                <w:color w:val="auto"/>
                <w:sz w:val="21"/>
              </w:rPr>
              <w:t>《海南省生态保护红线管理规定》海南省人民代表大会常务委员会第</w:t>
            </w:r>
            <w:r>
              <w:rPr>
                <w:rFonts w:hint="eastAsia" w:ascii="Times New Roman"/>
                <w:color w:val="auto"/>
                <w:sz w:val="21"/>
              </w:rPr>
              <w:t>74号</w:t>
            </w:r>
            <w:r>
              <w:rPr>
                <w:rFonts w:ascii="Times New Roman"/>
                <w:color w:val="auto"/>
                <w:sz w:val="21"/>
              </w:rPr>
              <w:t>，2016年9月1日起施行</w:t>
            </w:r>
            <w:r>
              <w:rPr>
                <w:rFonts w:hint="eastAsia" w:ascii="Times New Roman"/>
                <w:color w:val="auto"/>
                <w:sz w:val="21"/>
                <w:lang w:eastAsia="zh-CN"/>
              </w:rPr>
              <w:t>；</w:t>
            </w:r>
          </w:p>
          <w:p>
            <w:pPr>
              <w:pStyle w:val="55"/>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0" w:firstLineChars="200"/>
              <w:contextualSpacing/>
              <w:textAlignment w:val="auto"/>
              <w:outlineLvl w:val="9"/>
              <w:rPr>
                <w:rFonts w:hint="eastAsia" w:ascii="Times New Roman"/>
                <w:color w:val="auto"/>
                <w:sz w:val="21"/>
                <w:lang w:eastAsia="zh-CN"/>
              </w:rPr>
            </w:pPr>
            <w:r>
              <w:rPr>
                <w:rFonts w:hint="eastAsia" w:ascii="Times New Roman"/>
                <w:color w:val="auto"/>
                <w:sz w:val="21"/>
                <w:lang w:eastAsia="zh-CN"/>
              </w:rPr>
              <w:t>《</w:t>
            </w:r>
            <w:r>
              <w:rPr>
                <w:rFonts w:hint="eastAsia" w:ascii="Times New Roman"/>
                <w:color w:val="auto"/>
                <w:sz w:val="21"/>
              </w:rPr>
              <w:t>海南省饮用水水源保护条例</w:t>
            </w:r>
            <w:r>
              <w:rPr>
                <w:rFonts w:hint="eastAsia" w:ascii="Times New Roman"/>
                <w:color w:val="auto"/>
                <w:sz w:val="21"/>
                <w:lang w:eastAsia="zh-CN"/>
              </w:rPr>
              <w:t>》</w:t>
            </w:r>
            <w:r>
              <w:rPr>
                <w:rFonts w:ascii="Times New Roman"/>
                <w:color w:val="auto"/>
                <w:sz w:val="21"/>
              </w:rPr>
              <w:t>海南省人民代表大会常务委员会</w:t>
            </w:r>
            <w:r>
              <w:rPr>
                <w:rFonts w:hint="eastAsia" w:ascii="Times New Roman"/>
                <w:color w:val="auto"/>
                <w:sz w:val="21"/>
              </w:rPr>
              <w:t>，2017年11月30日</w:t>
            </w:r>
            <w:r>
              <w:rPr>
                <w:rFonts w:hint="eastAsia" w:ascii="Times New Roman"/>
                <w:color w:val="auto"/>
                <w:sz w:val="21"/>
                <w:lang w:eastAsia="zh-CN"/>
              </w:rPr>
              <w:t>修正；</w:t>
            </w:r>
          </w:p>
          <w:p>
            <w:pPr>
              <w:pStyle w:val="55"/>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outlineLvl w:val="9"/>
              <w:rPr>
                <w:rFonts w:hint="eastAsia" w:ascii="Times New Roman" w:eastAsia="宋体"/>
                <w:color w:val="auto"/>
                <w:spacing w:val="-4"/>
                <w:sz w:val="21"/>
                <w:lang w:eastAsia="zh-CN"/>
              </w:rPr>
            </w:pPr>
            <w:r>
              <w:rPr>
                <w:rFonts w:ascii="Times New Roman"/>
                <w:color w:val="auto"/>
                <w:sz w:val="21"/>
              </w:rPr>
              <w:t>（</w:t>
            </w:r>
            <w:r>
              <w:rPr>
                <w:rFonts w:hint="eastAsia" w:ascii="Times New Roman"/>
                <w:color w:val="auto"/>
                <w:sz w:val="21"/>
              </w:rPr>
              <w:t>1</w:t>
            </w:r>
            <w:r>
              <w:rPr>
                <w:rFonts w:hint="eastAsia" w:ascii="Times New Roman"/>
                <w:color w:val="auto"/>
                <w:sz w:val="21"/>
                <w:lang w:val="en-US" w:eastAsia="zh-CN"/>
              </w:rPr>
              <w:t>3</w:t>
            </w:r>
            <w:r>
              <w:rPr>
                <w:rFonts w:ascii="Times New Roman"/>
                <w:color w:val="auto"/>
                <w:sz w:val="21"/>
              </w:rPr>
              <w:t>）《</w:t>
            </w:r>
            <w:r>
              <w:rPr>
                <w:rFonts w:hint="default" w:ascii="Times New Roman"/>
                <w:color w:val="auto"/>
                <w:sz w:val="21"/>
              </w:rPr>
              <w:t>海南省湿地保护条例</w:t>
            </w:r>
            <w:r>
              <w:rPr>
                <w:rFonts w:ascii="Times New Roman"/>
                <w:color w:val="auto"/>
                <w:sz w:val="21"/>
              </w:rPr>
              <w:t>》海南省人民代表大会常务委员会第</w:t>
            </w:r>
            <w:r>
              <w:rPr>
                <w:rFonts w:hint="eastAsia" w:ascii="Times New Roman"/>
                <w:color w:val="auto"/>
                <w:sz w:val="21"/>
                <w:lang w:val="en-US" w:eastAsia="zh-CN"/>
              </w:rPr>
              <w:t>8号</w:t>
            </w:r>
            <w:r>
              <w:rPr>
                <w:rFonts w:ascii="Times New Roman"/>
                <w:color w:val="auto"/>
                <w:sz w:val="21"/>
              </w:rPr>
              <w:t>，201</w:t>
            </w:r>
            <w:r>
              <w:rPr>
                <w:rFonts w:hint="eastAsia" w:ascii="Times New Roman"/>
                <w:color w:val="auto"/>
                <w:sz w:val="21"/>
                <w:lang w:val="en-US" w:eastAsia="zh-CN"/>
              </w:rPr>
              <w:t>8</w:t>
            </w:r>
            <w:r>
              <w:rPr>
                <w:rFonts w:ascii="Times New Roman"/>
                <w:color w:val="auto"/>
                <w:sz w:val="21"/>
              </w:rPr>
              <w:t>年</w:t>
            </w:r>
            <w:r>
              <w:rPr>
                <w:rFonts w:hint="eastAsia" w:ascii="Times New Roman"/>
                <w:color w:val="auto"/>
                <w:sz w:val="21"/>
                <w:lang w:val="en-US" w:eastAsia="zh-CN"/>
              </w:rPr>
              <w:t>7</w:t>
            </w:r>
            <w:r>
              <w:rPr>
                <w:rFonts w:ascii="Times New Roman"/>
                <w:color w:val="auto"/>
                <w:sz w:val="21"/>
              </w:rPr>
              <w:t>月1日起施行</w:t>
            </w:r>
            <w:r>
              <w:rPr>
                <w:rFonts w:hint="eastAsia" w:ascii="Times New Roman"/>
                <w:color w:val="auto"/>
                <w:sz w:val="21"/>
                <w:lang w:eastAsia="zh-CN"/>
              </w:rPr>
              <w:t>；</w:t>
            </w:r>
          </w:p>
          <w:p>
            <w:pPr>
              <w:pStyle w:val="55"/>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outlineLvl w:val="9"/>
              <w:rPr>
                <w:rFonts w:hint="eastAsia" w:ascii="Times New Roman" w:hAnsi="Times New Roman" w:cs="Times New Roman"/>
                <w:color w:val="auto"/>
                <w:sz w:val="21"/>
                <w:lang w:eastAsia="zh-CN"/>
              </w:rPr>
            </w:pPr>
            <w:r>
              <w:rPr>
                <w:rFonts w:ascii="Times New Roman"/>
                <w:color w:val="auto"/>
                <w:sz w:val="21"/>
              </w:rPr>
              <w:t>（1</w:t>
            </w:r>
            <w:r>
              <w:rPr>
                <w:rFonts w:hint="eastAsia" w:ascii="Times New Roman"/>
                <w:color w:val="auto"/>
                <w:sz w:val="21"/>
                <w:lang w:val="en-US" w:eastAsia="zh-CN"/>
              </w:rPr>
              <w:t>4</w:t>
            </w:r>
            <w:r>
              <w:rPr>
                <w:rFonts w:ascii="Times New Roman"/>
                <w:color w:val="auto"/>
                <w:sz w:val="21"/>
              </w:rPr>
              <w:t>）</w:t>
            </w:r>
            <w:r>
              <w:rPr>
                <w:rFonts w:hint="eastAsia" w:ascii="Times New Roman" w:hAnsi="Times New Roman" w:cs="Times New Roman"/>
                <w:color w:val="auto"/>
                <w:sz w:val="21"/>
                <w:lang w:eastAsia="zh-CN"/>
              </w:rPr>
              <w:t>《海口市湿地保护若干规定》海南省人民代表大会常务委员会第六次会议，201</w:t>
            </w:r>
            <w:r>
              <w:rPr>
                <w:rFonts w:hint="eastAsia" w:ascii="Times New Roman" w:hAnsi="Times New Roman" w:cs="Times New Roman"/>
                <w:color w:val="auto"/>
                <w:sz w:val="21"/>
                <w:lang w:val="en-US" w:eastAsia="zh-CN"/>
              </w:rPr>
              <w:t>8</w:t>
            </w:r>
            <w:r>
              <w:rPr>
                <w:rFonts w:hint="eastAsia" w:ascii="Times New Roman" w:hAnsi="Times New Roman" w:cs="Times New Roman"/>
                <w:color w:val="auto"/>
                <w:sz w:val="21"/>
                <w:lang w:eastAsia="zh-CN"/>
              </w:rPr>
              <w:t>年</w:t>
            </w:r>
            <w:r>
              <w:rPr>
                <w:rFonts w:hint="eastAsia" w:ascii="Times New Roman" w:hAnsi="Times New Roman" w:cs="Times New Roman"/>
                <w:color w:val="auto"/>
                <w:sz w:val="21"/>
                <w:lang w:val="en-US" w:eastAsia="zh-CN"/>
              </w:rPr>
              <w:t>1</w:t>
            </w:r>
            <w:r>
              <w:rPr>
                <w:rFonts w:hint="eastAsia" w:ascii="Times New Roman" w:hAnsi="Times New Roman" w:cs="Times New Roman"/>
                <w:color w:val="auto"/>
                <w:sz w:val="21"/>
                <w:lang w:eastAsia="zh-CN"/>
              </w:rPr>
              <w:t>月1日起施行。</w:t>
            </w:r>
          </w:p>
          <w:p>
            <w:pPr>
              <w:spacing w:line="360" w:lineRule="auto"/>
              <w:rPr>
                <w:rFonts w:ascii="Times New Roman" w:hAnsi="Times New Roman"/>
                <w:b/>
                <w:bCs/>
                <w:color w:val="auto"/>
                <w:szCs w:val="20"/>
              </w:rPr>
            </w:pPr>
            <w:r>
              <w:rPr>
                <w:rFonts w:ascii="Times New Roman" w:hAnsi="Times New Roman"/>
                <w:b/>
                <w:color w:val="auto"/>
              </w:rPr>
              <w:t>1.1.1.3</w:t>
            </w:r>
            <w:r>
              <w:rPr>
                <w:rFonts w:ascii="Times New Roman" w:hAnsi="Times New Roman"/>
                <w:b/>
                <w:bCs/>
                <w:color w:val="auto"/>
                <w:szCs w:val="20"/>
              </w:rPr>
              <w:t>有关的标准</w:t>
            </w:r>
          </w:p>
          <w:p>
            <w:pPr>
              <w:pStyle w:val="55"/>
              <w:snapToGrid w:val="0"/>
              <w:spacing w:line="360" w:lineRule="auto"/>
              <w:ind w:firstLine="210" w:firstLineChars="100"/>
              <w:contextualSpacing/>
              <w:rPr>
                <w:rFonts w:ascii="Times New Roman"/>
                <w:color w:val="auto"/>
                <w:sz w:val="21"/>
                <w:szCs w:val="21"/>
              </w:rPr>
            </w:pPr>
            <w:r>
              <w:rPr>
                <w:rFonts w:ascii="Times New Roman"/>
                <w:color w:val="auto"/>
                <w:sz w:val="21"/>
                <w:szCs w:val="21"/>
              </w:rPr>
              <w:t>（1）《电磁环境控制限值》（GB8702-2014）；</w:t>
            </w:r>
          </w:p>
          <w:p>
            <w:pPr>
              <w:pStyle w:val="55"/>
              <w:snapToGrid w:val="0"/>
              <w:spacing w:line="360" w:lineRule="auto"/>
              <w:ind w:firstLine="210" w:firstLineChars="100"/>
              <w:contextualSpacing/>
              <w:rPr>
                <w:rFonts w:ascii="Times New Roman"/>
                <w:color w:val="auto"/>
                <w:sz w:val="21"/>
                <w:szCs w:val="21"/>
              </w:rPr>
            </w:pPr>
            <w:r>
              <w:rPr>
                <w:rFonts w:ascii="Times New Roman"/>
                <w:color w:val="auto"/>
                <w:sz w:val="21"/>
                <w:szCs w:val="21"/>
              </w:rPr>
              <w:t>（2）《声环境质量标准》（GB3096-2008）；</w:t>
            </w:r>
          </w:p>
          <w:p>
            <w:pPr>
              <w:pStyle w:val="55"/>
              <w:snapToGrid w:val="0"/>
              <w:spacing w:line="360" w:lineRule="auto"/>
              <w:ind w:firstLine="210" w:firstLineChars="100"/>
              <w:contextualSpacing/>
              <w:rPr>
                <w:rFonts w:ascii="Times New Roman"/>
                <w:color w:val="auto"/>
                <w:sz w:val="21"/>
                <w:szCs w:val="21"/>
              </w:rPr>
            </w:pPr>
            <w:r>
              <w:rPr>
                <w:rFonts w:ascii="Times New Roman"/>
                <w:color w:val="auto"/>
                <w:sz w:val="21"/>
                <w:szCs w:val="21"/>
              </w:rPr>
              <w:t>（3）《地表水环境质量标准》（GB3838-2002）；</w:t>
            </w:r>
          </w:p>
          <w:p>
            <w:pPr>
              <w:pStyle w:val="55"/>
              <w:snapToGrid w:val="0"/>
              <w:spacing w:line="360" w:lineRule="auto"/>
              <w:ind w:firstLine="210" w:firstLineChars="100"/>
              <w:contextualSpacing/>
              <w:rPr>
                <w:rFonts w:ascii="Times New Roman"/>
                <w:color w:val="auto"/>
                <w:sz w:val="21"/>
                <w:szCs w:val="21"/>
              </w:rPr>
            </w:pPr>
            <w:r>
              <w:rPr>
                <w:rFonts w:ascii="Times New Roman"/>
                <w:color w:val="auto"/>
                <w:sz w:val="21"/>
                <w:szCs w:val="21"/>
              </w:rPr>
              <w:t>（4）《建筑施工场界环境噪声排放标准》（GB12523-2011）；</w:t>
            </w:r>
          </w:p>
          <w:p>
            <w:pPr>
              <w:pStyle w:val="55"/>
              <w:snapToGrid w:val="0"/>
              <w:spacing w:line="360" w:lineRule="auto"/>
              <w:ind w:firstLine="210" w:firstLineChars="100"/>
              <w:contextualSpacing/>
              <w:rPr>
                <w:rFonts w:ascii="Times New Roman"/>
                <w:color w:val="auto"/>
                <w:sz w:val="21"/>
                <w:szCs w:val="21"/>
              </w:rPr>
            </w:pPr>
            <w:r>
              <w:rPr>
                <w:rFonts w:ascii="Times New Roman"/>
                <w:color w:val="auto"/>
                <w:sz w:val="21"/>
                <w:szCs w:val="21"/>
              </w:rPr>
              <w:t>（5）《交流输变电工程电磁环境监测方法（试行）》（HJ681-2013）。</w:t>
            </w:r>
          </w:p>
          <w:p>
            <w:pPr>
              <w:pStyle w:val="55"/>
              <w:snapToGrid w:val="0"/>
              <w:spacing w:line="360" w:lineRule="auto"/>
              <w:ind w:firstLine="0"/>
              <w:contextualSpacing/>
              <w:rPr>
                <w:rFonts w:ascii="Times New Roman"/>
                <w:b/>
                <w:color w:val="auto"/>
                <w:sz w:val="21"/>
                <w:szCs w:val="21"/>
              </w:rPr>
            </w:pPr>
            <w:r>
              <w:rPr>
                <w:rFonts w:ascii="Times New Roman"/>
                <w:b/>
                <w:color w:val="auto"/>
                <w:sz w:val="21"/>
                <w:szCs w:val="21"/>
              </w:rPr>
              <w:t>1.1.1.4有关的技术导则</w:t>
            </w:r>
          </w:p>
          <w:p>
            <w:pPr>
              <w:pStyle w:val="55"/>
              <w:snapToGrid w:val="0"/>
              <w:spacing w:line="360" w:lineRule="auto"/>
              <w:ind w:firstLine="210" w:firstLineChars="100"/>
              <w:contextualSpacing/>
              <w:rPr>
                <w:rFonts w:ascii="Times New Roman"/>
                <w:color w:val="auto"/>
                <w:sz w:val="21"/>
              </w:rPr>
            </w:pPr>
            <w:r>
              <w:rPr>
                <w:rFonts w:ascii="Times New Roman"/>
                <w:color w:val="auto"/>
                <w:sz w:val="21"/>
              </w:rPr>
              <w:t>（1）《建设项目环境影响评价技术导则</w:t>
            </w:r>
            <w:r>
              <w:rPr>
                <w:rFonts w:hint="eastAsia" w:ascii="Times New Roman"/>
                <w:color w:val="auto"/>
                <w:sz w:val="21"/>
              </w:rPr>
              <w:t xml:space="preserve"> </w:t>
            </w:r>
            <w:r>
              <w:rPr>
                <w:rFonts w:ascii="Times New Roman"/>
                <w:color w:val="auto"/>
                <w:sz w:val="21"/>
              </w:rPr>
              <w:t>总纲》（HJ2.1-2016）；</w:t>
            </w:r>
          </w:p>
          <w:p>
            <w:pPr>
              <w:pStyle w:val="55"/>
              <w:snapToGrid w:val="0"/>
              <w:spacing w:line="360" w:lineRule="auto"/>
              <w:ind w:firstLine="210" w:firstLineChars="100"/>
              <w:contextualSpacing/>
              <w:rPr>
                <w:rFonts w:ascii="Times New Roman"/>
                <w:color w:val="auto"/>
                <w:sz w:val="21"/>
              </w:rPr>
            </w:pPr>
            <w:r>
              <w:rPr>
                <w:rFonts w:ascii="Times New Roman"/>
                <w:color w:val="auto"/>
                <w:sz w:val="21"/>
              </w:rPr>
              <w:t>（2）《环境影响评价技术导则</w:t>
            </w:r>
            <w:r>
              <w:rPr>
                <w:rFonts w:hint="eastAsia" w:ascii="Times New Roman"/>
                <w:color w:val="auto"/>
                <w:sz w:val="21"/>
              </w:rPr>
              <w:t xml:space="preserve"> </w:t>
            </w:r>
            <w:r>
              <w:rPr>
                <w:rFonts w:ascii="Times New Roman"/>
                <w:color w:val="auto"/>
                <w:sz w:val="21"/>
              </w:rPr>
              <w:t>大气环境》（HJ2.2-20</w:t>
            </w:r>
            <w:r>
              <w:rPr>
                <w:rFonts w:hint="eastAsia" w:ascii="Times New Roman"/>
                <w:color w:val="auto"/>
                <w:sz w:val="21"/>
              </w:rPr>
              <w:t>1</w:t>
            </w:r>
            <w:r>
              <w:rPr>
                <w:rFonts w:ascii="Times New Roman"/>
                <w:color w:val="auto"/>
                <w:sz w:val="21"/>
              </w:rPr>
              <w:t>8）；</w:t>
            </w:r>
          </w:p>
          <w:p>
            <w:pPr>
              <w:pStyle w:val="55"/>
              <w:snapToGrid w:val="0"/>
              <w:spacing w:line="360" w:lineRule="auto"/>
              <w:ind w:firstLine="210" w:firstLineChars="100"/>
              <w:contextualSpacing/>
              <w:rPr>
                <w:rFonts w:ascii="Times New Roman"/>
                <w:color w:val="auto"/>
                <w:sz w:val="21"/>
              </w:rPr>
            </w:pPr>
            <w:r>
              <w:rPr>
                <w:rFonts w:ascii="Times New Roman"/>
                <w:color w:val="auto"/>
                <w:sz w:val="21"/>
              </w:rPr>
              <w:t>（3）《环境影响评价技术导则</w:t>
            </w:r>
            <w:r>
              <w:rPr>
                <w:rFonts w:hint="eastAsia" w:ascii="Times New Roman"/>
                <w:color w:val="auto"/>
                <w:sz w:val="21"/>
              </w:rPr>
              <w:t xml:space="preserve"> 地表水环境</w:t>
            </w:r>
            <w:r>
              <w:rPr>
                <w:rFonts w:ascii="Times New Roman"/>
                <w:color w:val="auto"/>
                <w:sz w:val="21"/>
              </w:rPr>
              <w:t>》（</w:t>
            </w:r>
            <w:r>
              <w:rPr>
                <w:rFonts w:hint="eastAsia" w:ascii="Times New Roman"/>
                <w:color w:val="auto"/>
                <w:sz w:val="21"/>
              </w:rPr>
              <w:t>HJ2.3-2018</w:t>
            </w:r>
            <w:r>
              <w:rPr>
                <w:rFonts w:ascii="Times New Roman"/>
                <w:color w:val="auto"/>
                <w:sz w:val="21"/>
              </w:rPr>
              <w:t>）；</w:t>
            </w:r>
          </w:p>
          <w:p>
            <w:pPr>
              <w:pStyle w:val="55"/>
              <w:snapToGrid w:val="0"/>
              <w:spacing w:line="360" w:lineRule="auto"/>
              <w:ind w:firstLine="210" w:firstLineChars="100"/>
              <w:contextualSpacing/>
              <w:rPr>
                <w:rFonts w:ascii="Times New Roman"/>
                <w:color w:val="auto"/>
                <w:sz w:val="21"/>
              </w:rPr>
            </w:pPr>
            <w:r>
              <w:rPr>
                <w:rFonts w:ascii="Times New Roman"/>
                <w:color w:val="auto"/>
                <w:sz w:val="21"/>
              </w:rPr>
              <w:t>（4）《环境影响评价技术导则</w:t>
            </w:r>
            <w:r>
              <w:rPr>
                <w:rFonts w:hint="eastAsia" w:ascii="Times New Roman"/>
                <w:color w:val="auto"/>
                <w:sz w:val="21"/>
              </w:rPr>
              <w:t xml:space="preserve"> </w:t>
            </w:r>
            <w:r>
              <w:rPr>
                <w:rFonts w:ascii="Times New Roman"/>
                <w:color w:val="auto"/>
                <w:sz w:val="21"/>
              </w:rPr>
              <w:t>声环境》（HJ2.4-2009）；</w:t>
            </w:r>
          </w:p>
          <w:p>
            <w:pPr>
              <w:pStyle w:val="55"/>
              <w:snapToGrid w:val="0"/>
              <w:spacing w:line="360" w:lineRule="auto"/>
              <w:ind w:firstLine="210" w:firstLineChars="100"/>
              <w:contextualSpacing/>
              <w:rPr>
                <w:rFonts w:ascii="Times New Roman"/>
                <w:color w:val="auto"/>
                <w:sz w:val="21"/>
              </w:rPr>
            </w:pPr>
            <w:r>
              <w:rPr>
                <w:rFonts w:ascii="Times New Roman"/>
                <w:color w:val="auto"/>
                <w:sz w:val="21"/>
              </w:rPr>
              <w:t>（5）《环境影响评价技术导则</w:t>
            </w:r>
            <w:r>
              <w:rPr>
                <w:rFonts w:hint="eastAsia" w:ascii="Times New Roman"/>
                <w:color w:val="auto"/>
                <w:sz w:val="21"/>
              </w:rPr>
              <w:t xml:space="preserve"> </w:t>
            </w:r>
            <w:r>
              <w:rPr>
                <w:rFonts w:ascii="Times New Roman"/>
                <w:color w:val="auto"/>
                <w:sz w:val="21"/>
              </w:rPr>
              <w:t>生态影响》（HJ19-2011）；</w:t>
            </w:r>
          </w:p>
          <w:p>
            <w:pPr>
              <w:pStyle w:val="55"/>
              <w:snapToGrid w:val="0"/>
              <w:spacing w:line="360" w:lineRule="auto"/>
              <w:ind w:firstLine="210" w:firstLineChars="100"/>
              <w:contextualSpacing/>
              <w:rPr>
                <w:rFonts w:ascii="Times New Roman"/>
                <w:color w:val="auto"/>
                <w:sz w:val="21"/>
                <w:szCs w:val="21"/>
              </w:rPr>
            </w:pPr>
            <w:r>
              <w:rPr>
                <w:rFonts w:ascii="Times New Roman"/>
                <w:color w:val="auto"/>
                <w:sz w:val="21"/>
              </w:rPr>
              <w:t>（6）《环境影响评价技术导则</w:t>
            </w:r>
            <w:r>
              <w:rPr>
                <w:rFonts w:hint="eastAsia" w:ascii="Times New Roman"/>
                <w:color w:val="auto"/>
                <w:sz w:val="21"/>
              </w:rPr>
              <w:t xml:space="preserve"> </w:t>
            </w:r>
            <w:r>
              <w:rPr>
                <w:rFonts w:ascii="Times New Roman"/>
                <w:color w:val="auto"/>
                <w:sz w:val="21"/>
              </w:rPr>
              <w:t>输变电工程》（HJ24-2014）</w:t>
            </w:r>
            <w:r>
              <w:rPr>
                <w:rFonts w:ascii="Times New Roman"/>
                <w:color w:val="auto"/>
                <w:sz w:val="21"/>
                <w:szCs w:val="21"/>
              </w:rPr>
              <w:t>。</w:t>
            </w:r>
          </w:p>
          <w:p>
            <w:pPr>
              <w:pStyle w:val="23"/>
              <w:spacing w:line="360" w:lineRule="auto"/>
              <w:ind w:firstLine="0"/>
              <w:rPr>
                <w:rFonts w:ascii="Times New Roman"/>
                <w:b/>
                <w:bCs/>
                <w:color w:val="auto"/>
                <w:kern w:val="2"/>
                <w:sz w:val="21"/>
                <w:szCs w:val="21"/>
              </w:rPr>
            </w:pPr>
            <w:r>
              <w:rPr>
                <w:rFonts w:ascii="Times New Roman"/>
                <w:b/>
                <w:bCs/>
                <w:color w:val="auto"/>
                <w:kern w:val="2"/>
                <w:sz w:val="21"/>
                <w:szCs w:val="21"/>
              </w:rPr>
              <w:t>1. 1.1.5有关设计规程</w:t>
            </w:r>
          </w:p>
          <w:p>
            <w:pPr>
              <w:pStyle w:val="23"/>
              <w:spacing w:line="360" w:lineRule="auto"/>
              <w:ind w:firstLine="420"/>
              <w:rPr>
                <w:rFonts w:ascii="Times New Roman"/>
                <w:color w:val="auto"/>
                <w:kern w:val="2"/>
                <w:sz w:val="21"/>
                <w:szCs w:val="21"/>
              </w:rPr>
            </w:pPr>
            <w:r>
              <w:rPr>
                <w:rFonts w:ascii="Times New Roman"/>
                <w:color w:val="auto"/>
                <w:kern w:val="2"/>
                <w:sz w:val="21"/>
                <w:szCs w:val="21"/>
              </w:rPr>
              <w:t>输变电工程所执行的规程见表1-1。</w:t>
            </w:r>
          </w:p>
          <w:p>
            <w:pPr>
              <w:jc w:val="center"/>
              <w:rPr>
                <w:rFonts w:ascii="Times New Roman" w:hAnsi="Times New Roman"/>
                <w:b/>
                <w:bCs/>
                <w:color w:val="auto"/>
              </w:rPr>
            </w:pPr>
            <w:r>
              <w:rPr>
                <w:rFonts w:ascii="Times New Roman" w:hAnsi="Times New Roman"/>
                <w:b/>
                <w:bCs/>
                <w:color w:val="auto"/>
              </w:rPr>
              <w:t>表1-1输电线路工程有关设计规程一览表</w:t>
            </w:r>
          </w:p>
          <w:tbl>
            <w:tblPr>
              <w:tblStyle w:val="50"/>
              <w:tblW w:w="8341" w:type="dxa"/>
              <w:tblInd w:w="114" w:type="dxa"/>
              <w:tblLayout w:type="fixed"/>
              <w:tblCellMar>
                <w:top w:w="0" w:type="dxa"/>
                <w:left w:w="108" w:type="dxa"/>
                <w:bottom w:w="0" w:type="dxa"/>
                <w:right w:w="108" w:type="dxa"/>
              </w:tblCellMar>
            </w:tblPr>
            <w:tblGrid>
              <w:gridCol w:w="817"/>
              <w:gridCol w:w="2045"/>
              <w:gridCol w:w="4632"/>
              <w:gridCol w:w="847"/>
            </w:tblGrid>
            <w:tr>
              <w:tblPrEx>
                <w:tblLayout w:type="fixed"/>
                <w:tblCellMar>
                  <w:top w:w="0" w:type="dxa"/>
                  <w:left w:w="108" w:type="dxa"/>
                  <w:bottom w:w="0" w:type="dxa"/>
                  <w:right w:w="108" w:type="dxa"/>
                </w:tblCellMar>
              </w:tblPrEx>
              <w:trPr>
                <w:trHeight w:val="454" w:hRule="atLeast"/>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序号</w:t>
                  </w:r>
                </w:p>
              </w:tc>
              <w:tc>
                <w:tcPr>
                  <w:tcW w:w="2045"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标准号</w:t>
                  </w:r>
                </w:p>
              </w:tc>
              <w:tc>
                <w:tcPr>
                  <w:tcW w:w="4632"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标准名称</w:t>
                  </w:r>
                </w:p>
              </w:tc>
              <w:tc>
                <w:tcPr>
                  <w:tcW w:w="847"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等级</w:t>
                  </w:r>
                </w:p>
              </w:tc>
            </w:tr>
            <w:tr>
              <w:tblPrEx>
                <w:tblLayout w:type="fixed"/>
                <w:tblCellMar>
                  <w:top w:w="0" w:type="dxa"/>
                  <w:left w:w="108" w:type="dxa"/>
                  <w:bottom w:w="0" w:type="dxa"/>
                  <w:right w:w="108" w:type="dxa"/>
                </w:tblCellMar>
              </w:tblPrEx>
              <w:trPr>
                <w:trHeight w:val="454" w:hRule="atLeast"/>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1</w:t>
                  </w:r>
                </w:p>
              </w:tc>
              <w:tc>
                <w:tcPr>
                  <w:tcW w:w="2045"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GB 50545-2010</w:t>
                  </w:r>
                </w:p>
              </w:tc>
              <w:tc>
                <w:tcPr>
                  <w:tcW w:w="4632"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Times New Roman" w:hAnsi="Times New Roman"/>
                      <w:color w:val="auto"/>
                    </w:rPr>
                  </w:pPr>
                  <w:r>
                    <w:rPr>
                      <w:rFonts w:ascii="Times New Roman" w:hAnsi="Times New Roman"/>
                      <w:color w:val="auto"/>
                    </w:rPr>
                    <w:t>《110～750kV架空输电线路设计技术规程》</w:t>
                  </w:r>
                </w:p>
              </w:tc>
              <w:tc>
                <w:tcPr>
                  <w:tcW w:w="847"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国家</w:t>
                  </w:r>
                </w:p>
              </w:tc>
            </w:tr>
          </w:tbl>
          <w:p>
            <w:pPr>
              <w:spacing w:line="360" w:lineRule="auto"/>
              <w:rPr>
                <w:rFonts w:ascii="Times New Roman" w:hAnsi="Times New Roman"/>
                <w:b/>
                <w:color w:val="auto"/>
                <w:szCs w:val="24"/>
              </w:rPr>
            </w:pPr>
            <w:r>
              <w:rPr>
                <w:rFonts w:ascii="Times New Roman" w:hAnsi="Times New Roman"/>
                <w:b/>
                <w:color w:val="auto"/>
                <w:szCs w:val="24"/>
              </w:rPr>
              <w:t>1.1.1.6工程设计资料名称和编制单位</w:t>
            </w:r>
          </w:p>
          <w:p>
            <w:pPr>
              <w:snapToGrid w:val="0"/>
              <w:spacing w:line="360" w:lineRule="auto"/>
              <w:ind w:firstLine="420" w:firstLineChars="200"/>
              <w:contextualSpacing/>
              <w:rPr>
                <w:rFonts w:ascii="Times New Roman" w:hAnsi="Times New Roman"/>
                <w:color w:val="auto"/>
              </w:rPr>
            </w:pPr>
            <w:r>
              <w:rPr>
                <w:rFonts w:ascii="Times New Roman" w:hAnsi="Times New Roman"/>
                <w:color w:val="auto"/>
              </w:rPr>
              <w:t>本次环评所采用的工程资料见表1-2。</w:t>
            </w:r>
          </w:p>
          <w:p>
            <w:pPr>
              <w:snapToGrid w:val="0"/>
              <w:contextualSpacing/>
              <w:jc w:val="center"/>
              <w:rPr>
                <w:rFonts w:ascii="Times New Roman" w:hAnsi="Times New Roman"/>
                <w:b/>
                <w:bCs/>
                <w:color w:val="auto"/>
              </w:rPr>
            </w:pPr>
            <w:r>
              <w:rPr>
                <w:rFonts w:ascii="Times New Roman" w:hAnsi="Times New Roman"/>
                <w:b/>
                <w:bCs/>
                <w:color w:val="auto"/>
              </w:rPr>
              <w:t>表1-2本次环评的工程资料一览表</w:t>
            </w:r>
          </w:p>
          <w:tbl>
            <w:tblPr>
              <w:tblStyle w:val="50"/>
              <w:tblW w:w="84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4414"/>
              <w:gridCol w:w="1917"/>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84" w:type="dxa"/>
                  <w:vAlign w:val="center"/>
                </w:tcPr>
                <w:p>
                  <w:pPr>
                    <w:snapToGrid w:val="0"/>
                    <w:contextualSpacing/>
                    <w:jc w:val="center"/>
                    <w:rPr>
                      <w:rFonts w:ascii="Times New Roman" w:hAnsi="Times New Roman"/>
                      <w:bCs/>
                      <w:color w:val="auto"/>
                    </w:rPr>
                  </w:pPr>
                  <w:r>
                    <w:rPr>
                      <w:rFonts w:ascii="Times New Roman" w:hAnsi="Times New Roman"/>
                      <w:bCs/>
                      <w:color w:val="auto"/>
                    </w:rPr>
                    <w:t>序号</w:t>
                  </w:r>
                </w:p>
              </w:tc>
              <w:tc>
                <w:tcPr>
                  <w:tcW w:w="4414" w:type="dxa"/>
                  <w:vAlign w:val="center"/>
                </w:tcPr>
                <w:p>
                  <w:pPr>
                    <w:snapToGrid w:val="0"/>
                    <w:contextualSpacing/>
                    <w:jc w:val="center"/>
                    <w:rPr>
                      <w:rFonts w:ascii="Times New Roman" w:hAnsi="Times New Roman"/>
                      <w:bCs/>
                      <w:color w:val="auto"/>
                    </w:rPr>
                  </w:pPr>
                  <w:r>
                    <w:rPr>
                      <w:rFonts w:ascii="Times New Roman" w:hAnsi="Times New Roman"/>
                      <w:bCs/>
                      <w:color w:val="auto"/>
                    </w:rPr>
                    <w:t>工程资料名称</w:t>
                  </w:r>
                </w:p>
              </w:tc>
              <w:tc>
                <w:tcPr>
                  <w:tcW w:w="1917" w:type="dxa"/>
                  <w:vAlign w:val="center"/>
                </w:tcPr>
                <w:p>
                  <w:pPr>
                    <w:snapToGrid w:val="0"/>
                    <w:contextualSpacing/>
                    <w:jc w:val="center"/>
                    <w:rPr>
                      <w:rFonts w:ascii="Times New Roman" w:hAnsi="Times New Roman"/>
                      <w:bCs/>
                      <w:color w:val="auto"/>
                    </w:rPr>
                  </w:pPr>
                  <w:r>
                    <w:rPr>
                      <w:rFonts w:ascii="Times New Roman" w:hAnsi="Times New Roman"/>
                      <w:bCs/>
                      <w:color w:val="auto"/>
                    </w:rPr>
                    <w:t>编制单位</w:t>
                  </w:r>
                </w:p>
              </w:tc>
              <w:tc>
                <w:tcPr>
                  <w:tcW w:w="1440" w:type="dxa"/>
                  <w:vAlign w:val="center"/>
                </w:tcPr>
                <w:p>
                  <w:pPr>
                    <w:snapToGrid w:val="0"/>
                    <w:contextualSpacing/>
                    <w:jc w:val="center"/>
                    <w:rPr>
                      <w:rFonts w:ascii="Times New Roman" w:hAnsi="Times New Roman"/>
                      <w:bCs/>
                      <w:color w:val="auto"/>
                    </w:rPr>
                  </w:pPr>
                  <w:r>
                    <w:rPr>
                      <w:rFonts w:ascii="Times New Roman" w:hAnsi="Times New Roman"/>
                      <w:bCs/>
                      <w:color w:val="auto"/>
                    </w:rPr>
                    <w:t>编制时间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4" w:type="dxa"/>
                  <w:vAlign w:val="center"/>
                </w:tcPr>
                <w:p>
                  <w:pPr>
                    <w:snapToGrid w:val="0"/>
                    <w:contextualSpacing/>
                    <w:jc w:val="center"/>
                    <w:rPr>
                      <w:rFonts w:ascii="Times New Roman" w:hAnsi="Times New Roman"/>
                      <w:bCs/>
                      <w:color w:val="auto"/>
                    </w:rPr>
                  </w:pPr>
                  <w:r>
                    <w:rPr>
                      <w:rFonts w:ascii="Times New Roman" w:hAnsi="Times New Roman"/>
                      <w:bCs/>
                      <w:color w:val="auto"/>
                    </w:rPr>
                    <w:t>1</w:t>
                  </w:r>
                </w:p>
              </w:tc>
              <w:tc>
                <w:tcPr>
                  <w:tcW w:w="4414" w:type="dxa"/>
                  <w:vAlign w:val="center"/>
                </w:tcPr>
                <w:p>
                  <w:pPr>
                    <w:autoSpaceDE w:val="0"/>
                    <w:autoSpaceDN w:val="0"/>
                    <w:adjustRightInd w:val="0"/>
                    <w:snapToGrid w:val="0"/>
                    <w:contextualSpacing/>
                    <w:jc w:val="center"/>
                    <w:rPr>
                      <w:rFonts w:ascii="Times New Roman" w:hAnsi="Times New Roman"/>
                      <w:color w:val="auto"/>
                    </w:rPr>
                  </w:pPr>
                  <w:r>
                    <w:rPr>
                      <w:rFonts w:ascii="Times New Roman" w:hAnsi="Times New Roman"/>
                      <w:color w:val="auto"/>
                    </w:rPr>
                    <w:t>《</w:t>
                  </w:r>
                  <w:r>
                    <w:rPr>
                      <w:rFonts w:hint="eastAsia" w:ascii="Times New Roman" w:hAnsi="Times New Roman"/>
                      <w:color w:val="auto"/>
                    </w:rPr>
                    <w:t>文昌气电π接220kV玉洲至江东线路新建工程</w:t>
                  </w:r>
                  <w:r>
                    <w:rPr>
                      <w:rFonts w:ascii="Times New Roman" w:hAnsi="Times New Roman"/>
                      <w:color w:val="auto"/>
                    </w:rPr>
                    <w:t>可行性研究报告》</w:t>
                  </w:r>
                </w:p>
              </w:tc>
              <w:tc>
                <w:tcPr>
                  <w:tcW w:w="1917" w:type="dxa"/>
                  <w:vAlign w:val="center"/>
                </w:tcPr>
                <w:p>
                  <w:pPr>
                    <w:autoSpaceDE w:val="0"/>
                    <w:autoSpaceDN w:val="0"/>
                    <w:adjustRightInd w:val="0"/>
                    <w:jc w:val="left"/>
                    <w:rPr>
                      <w:rFonts w:ascii="Times New Roman" w:hAnsi="Times New Roman"/>
                      <w:color w:val="auto"/>
                    </w:rPr>
                  </w:pPr>
                  <w:r>
                    <w:rPr>
                      <w:rFonts w:hint="eastAsia" w:ascii="Times New Roman" w:hAnsi="Times New Roman"/>
                      <w:color w:val="auto"/>
                    </w:rPr>
                    <w:t>中国能源建设集团广东省电力设计研究院有限公司</w:t>
                  </w:r>
                  <w:r>
                    <w:rPr>
                      <w:rFonts w:ascii="Times New Roman" w:hAnsi="Times New Roman"/>
                      <w:color w:val="auto"/>
                    </w:rPr>
                    <w:t xml:space="preserve"> </w:t>
                  </w:r>
                </w:p>
              </w:tc>
              <w:tc>
                <w:tcPr>
                  <w:tcW w:w="1440" w:type="dxa"/>
                  <w:vAlign w:val="center"/>
                </w:tcPr>
                <w:p>
                  <w:pPr>
                    <w:snapToGrid w:val="0"/>
                    <w:contextualSpacing/>
                    <w:jc w:val="center"/>
                    <w:rPr>
                      <w:rFonts w:ascii="Times New Roman" w:hAnsi="Times New Roman"/>
                      <w:color w:val="auto"/>
                    </w:rPr>
                  </w:pPr>
                  <w:r>
                    <w:rPr>
                      <w:rFonts w:ascii="Times New Roman" w:hAnsi="Times New Roman"/>
                      <w:color w:val="auto"/>
                    </w:rPr>
                    <w:t>201</w:t>
                  </w:r>
                  <w:r>
                    <w:rPr>
                      <w:rFonts w:hint="eastAsia" w:ascii="Times New Roman" w:hAnsi="Times New Roman"/>
                      <w:color w:val="auto"/>
                      <w:lang w:val="en-US" w:eastAsia="zh-CN"/>
                    </w:rPr>
                    <w:t>9</w:t>
                  </w:r>
                  <w:r>
                    <w:rPr>
                      <w:rFonts w:ascii="Times New Roman" w:hAnsi="Times New Roman"/>
                      <w:color w:val="auto"/>
                    </w:rPr>
                    <w:t>年</w:t>
                  </w:r>
                  <w:r>
                    <w:rPr>
                      <w:rFonts w:hint="eastAsia" w:ascii="Times New Roman" w:hAnsi="Times New Roman"/>
                      <w:color w:val="auto"/>
                      <w:lang w:val="en-US" w:eastAsia="zh-CN"/>
                    </w:rPr>
                    <w:t>9</w:t>
                  </w:r>
                  <w:r>
                    <w:rPr>
                      <w:rFonts w:ascii="Times New Roman" w:hAnsi="Times New Roman"/>
                      <w:color w:val="auto"/>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2" w:hRule="atLeast"/>
              </w:trPr>
              <w:tc>
                <w:tcPr>
                  <w:tcW w:w="684" w:type="dxa"/>
                  <w:vAlign w:val="center"/>
                </w:tcPr>
                <w:p>
                  <w:pPr>
                    <w:snapToGrid w:val="0"/>
                    <w:contextualSpacing/>
                    <w:jc w:val="center"/>
                    <w:rPr>
                      <w:rFonts w:ascii="Times New Roman" w:hAnsi="Times New Roman"/>
                      <w:b w:val="0"/>
                      <w:bCs/>
                      <w:color w:val="auto"/>
                    </w:rPr>
                  </w:pPr>
                  <w:r>
                    <w:rPr>
                      <w:rFonts w:ascii="Times New Roman" w:hAnsi="Times New Roman"/>
                      <w:b w:val="0"/>
                      <w:bCs/>
                      <w:color w:val="auto"/>
                    </w:rPr>
                    <w:t>2</w:t>
                  </w:r>
                </w:p>
              </w:tc>
              <w:tc>
                <w:tcPr>
                  <w:tcW w:w="4414" w:type="dxa"/>
                  <w:vAlign w:val="center"/>
                </w:tcPr>
                <w:p>
                  <w:pPr>
                    <w:autoSpaceDE w:val="0"/>
                    <w:autoSpaceDN w:val="0"/>
                    <w:adjustRightInd w:val="0"/>
                    <w:snapToGrid w:val="0"/>
                    <w:contextualSpacing/>
                    <w:jc w:val="center"/>
                    <w:rPr>
                      <w:rFonts w:ascii="Times New Roman" w:hAnsi="Times New Roman"/>
                      <w:b w:val="0"/>
                      <w:bCs/>
                      <w:color w:val="auto"/>
                    </w:rPr>
                  </w:pPr>
                  <w:r>
                    <w:rPr>
                      <w:rFonts w:ascii="Times New Roman" w:hAnsi="Times New Roman"/>
                      <w:b w:val="0"/>
                      <w:bCs/>
                      <w:color w:val="auto"/>
                    </w:rPr>
                    <w:t>《关于</w:t>
                  </w:r>
                  <w:r>
                    <w:rPr>
                      <w:rFonts w:hint="eastAsia" w:ascii="Times New Roman" w:hAnsi="Times New Roman"/>
                      <w:b w:val="0"/>
                      <w:bCs/>
                      <w:color w:val="auto"/>
                    </w:rPr>
                    <w:t>文昌气电π接220kV玉洲至江东线路新建工程</w:t>
                  </w:r>
                  <w:r>
                    <w:rPr>
                      <w:rFonts w:ascii="Times New Roman" w:hAnsi="Times New Roman"/>
                      <w:b w:val="0"/>
                      <w:bCs/>
                      <w:color w:val="auto"/>
                    </w:rPr>
                    <w:t>可行性研究报告的批复》海南电网计[201</w:t>
                  </w:r>
                  <w:r>
                    <w:rPr>
                      <w:rFonts w:hint="eastAsia" w:ascii="Times New Roman" w:hAnsi="Times New Roman"/>
                      <w:b w:val="0"/>
                      <w:bCs/>
                      <w:color w:val="auto"/>
                      <w:lang w:val="en-US" w:eastAsia="zh-CN"/>
                    </w:rPr>
                    <w:t>9</w:t>
                  </w:r>
                  <w:r>
                    <w:rPr>
                      <w:rFonts w:ascii="Times New Roman" w:hAnsi="Times New Roman"/>
                      <w:b w:val="0"/>
                      <w:bCs/>
                      <w:color w:val="auto"/>
                    </w:rPr>
                    <w:t>]</w:t>
                  </w:r>
                  <w:r>
                    <w:rPr>
                      <w:rFonts w:hint="eastAsia" w:ascii="Times New Roman" w:hAnsi="Times New Roman"/>
                      <w:b w:val="0"/>
                      <w:bCs/>
                      <w:color w:val="auto"/>
                      <w:lang w:val="en-US" w:eastAsia="zh-CN"/>
                    </w:rPr>
                    <w:t>121</w:t>
                  </w:r>
                  <w:r>
                    <w:rPr>
                      <w:rFonts w:ascii="Times New Roman" w:hAnsi="Times New Roman"/>
                      <w:b w:val="0"/>
                      <w:bCs/>
                      <w:color w:val="auto"/>
                    </w:rPr>
                    <w:t>号</w:t>
                  </w:r>
                </w:p>
              </w:tc>
              <w:tc>
                <w:tcPr>
                  <w:tcW w:w="1917" w:type="dxa"/>
                  <w:vAlign w:val="center"/>
                </w:tcPr>
                <w:p>
                  <w:pPr>
                    <w:snapToGrid w:val="0"/>
                    <w:contextualSpacing/>
                    <w:jc w:val="center"/>
                    <w:rPr>
                      <w:rFonts w:ascii="Times New Roman" w:hAnsi="Times New Roman"/>
                      <w:b w:val="0"/>
                      <w:bCs/>
                      <w:color w:val="auto"/>
                    </w:rPr>
                  </w:pPr>
                  <w:r>
                    <w:rPr>
                      <w:rFonts w:ascii="Times New Roman" w:hAnsi="Times New Roman"/>
                      <w:b w:val="0"/>
                      <w:bCs/>
                      <w:color w:val="auto"/>
                    </w:rPr>
                    <w:t>海南电网有限责任公司</w:t>
                  </w:r>
                </w:p>
              </w:tc>
              <w:tc>
                <w:tcPr>
                  <w:tcW w:w="1440" w:type="dxa"/>
                  <w:vAlign w:val="center"/>
                </w:tcPr>
                <w:p>
                  <w:pPr>
                    <w:snapToGrid w:val="0"/>
                    <w:contextualSpacing/>
                    <w:jc w:val="center"/>
                    <w:rPr>
                      <w:rFonts w:ascii="Times New Roman" w:hAnsi="Times New Roman"/>
                      <w:b w:val="0"/>
                      <w:bCs/>
                      <w:color w:val="auto"/>
                    </w:rPr>
                  </w:pPr>
                  <w:r>
                    <w:rPr>
                      <w:rFonts w:ascii="Times New Roman" w:hAnsi="Times New Roman"/>
                      <w:b w:val="0"/>
                      <w:bCs/>
                      <w:color w:val="auto"/>
                    </w:rPr>
                    <w:t>201</w:t>
                  </w:r>
                  <w:r>
                    <w:rPr>
                      <w:rFonts w:hint="eastAsia" w:ascii="Times New Roman" w:hAnsi="Times New Roman"/>
                      <w:b w:val="0"/>
                      <w:bCs/>
                      <w:color w:val="auto"/>
                      <w:lang w:val="en-US" w:eastAsia="zh-CN"/>
                    </w:rPr>
                    <w:t>9</w:t>
                  </w:r>
                  <w:r>
                    <w:rPr>
                      <w:rFonts w:ascii="Times New Roman" w:hAnsi="Times New Roman"/>
                      <w:b w:val="0"/>
                      <w:bCs/>
                      <w:color w:val="auto"/>
                    </w:rPr>
                    <w:t>年</w:t>
                  </w:r>
                  <w:r>
                    <w:rPr>
                      <w:rFonts w:hint="eastAsia" w:ascii="Times New Roman" w:hAnsi="Times New Roman"/>
                      <w:b w:val="0"/>
                      <w:bCs/>
                      <w:color w:val="auto"/>
                      <w:lang w:val="en-US" w:eastAsia="zh-CN"/>
                    </w:rPr>
                    <w:t>9</w:t>
                  </w:r>
                  <w:r>
                    <w:rPr>
                      <w:rFonts w:ascii="Times New Roman" w:hAnsi="Times New Roman"/>
                      <w:b w:val="0"/>
                      <w:bCs/>
                      <w:color w:val="auto"/>
                    </w:rPr>
                    <w:t>月</w:t>
                  </w:r>
                </w:p>
              </w:tc>
            </w:tr>
          </w:tbl>
          <w:p>
            <w:pPr>
              <w:snapToGrid w:val="0"/>
              <w:spacing w:line="360" w:lineRule="auto"/>
              <w:contextualSpacing/>
              <w:rPr>
                <w:rFonts w:ascii="Times New Roman" w:hAnsi="Times New Roman"/>
                <w:b/>
                <w:bCs/>
                <w:color w:val="auto"/>
              </w:rPr>
            </w:pPr>
            <w:r>
              <w:rPr>
                <w:rFonts w:ascii="Times New Roman" w:hAnsi="Times New Roman"/>
                <w:b/>
                <w:bCs/>
                <w:color w:val="auto"/>
              </w:rPr>
              <w:t>1.1.2 评价因子</w:t>
            </w:r>
          </w:p>
          <w:p>
            <w:pPr>
              <w:snapToGrid w:val="0"/>
              <w:spacing w:line="360" w:lineRule="auto"/>
              <w:ind w:firstLine="420" w:firstLineChars="200"/>
              <w:contextualSpacing/>
              <w:rPr>
                <w:rFonts w:ascii="Times New Roman" w:hAnsi="Times New Roman"/>
                <w:color w:val="auto"/>
              </w:rPr>
            </w:pPr>
            <w:r>
              <w:rPr>
                <w:rFonts w:ascii="Times New Roman" w:hAnsi="Times New Roman"/>
                <w:color w:val="auto"/>
              </w:rPr>
              <w:t>依据《环境影响评价技术导则 输变电工程》（HJ24-2014）相关要求确定本工程主要环境影响评价因子见表1-3。</w:t>
            </w:r>
          </w:p>
          <w:p>
            <w:pPr>
              <w:pStyle w:val="2"/>
              <w:rPr>
                <w:color w:val="auto"/>
              </w:rPr>
            </w:pPr>
          </w:p>
          <w:p>
            <w:pPr>
              <w:keepNext w:val="0"/>
              <w:keepLines w:val="0"/>
              <w:pageBreakBefore w:val="0"/>
              <w:widowControl w:val="0"/>
              <w:kinsoku/>
              <w:wordWrap/>
              <w:overflowPunct/>
              <w:topLinePunct w:val="0"/>
              <w:autoSpaceDE/>
              <w:autoSpaceDN/>
              <w:bidi w:val="0"/>
              <w:adjustRightInd/>
              <w:snapToGrid w:val="0"/>
              <w:contextualSpacing/>
              <w:jc w:val="center"/>
              <w:textAlignment w:val="auto"/>
              <w:outlineLvl w:val="9"/>
              <w:rPr>
                <w:rFonts w:ascii="Times New Roman" w:hAnsi="Times New Roman"/>
                <w:b/>
                <w:bCs/>
                <w:color w:val="auto"/>
              </w:rPr>
            </w:pPr>
            <w:r>
              <w:rPr>
                <w:rFonts w:ascii="Times New Roman" w:hAnsi="Times New Roman"/>
                <w:b/>
                <w:bCs/>
                <w:color w:val="auto"/>
              </w:rPr>
              <w:t>表1-3 本工程评价因子一览表</w:t>
            </w:r>
          </w:p>
          <w:tbl>
            <w:tblPr>
              <w:tblStyle w:val="50"/>
              <w:tblW w:w="8384" w:type="dxa"/>
              <w:jc w:val="center"/>
              <w:tblInd w:w="0" w:type="dxa"/>
              <w:tblLayout w:type="fixed"/>
              <w:tblCellMar>
                <w:top w:w="0" w:type="dxa"/>
                <w:left w:w="108" w:type="dxa"/>
                <w:bottom w:w="0" w:type="dxa"/>
                <w:right w:w="108" w:type="dxa"/>
              </w:tblCellMar>
            </w:tblPr>
            <w:tblGrid>
              <w:gridCol w:w="1131"/>
              <w:gridCol w:w="1133"/>
              <w:gridCol w:w="2088"/>
              <w:gridCol w:w="852"/>
              <w:gridCol w:w="2327"/>
              <w:gridCol w:w="853"/>
            </w:tblGrid>
            <w:tr>
              <w:tblPrEx>
                <w:tblLayout w:type="fixed"/>
                <w:tblCellMar>
                  <w:top w:w="0" w:type="dxa"/>
                  <w:left w:w="108" w:type="dxa"/>
                  <w:bottom w:w="0" w:type="dxa"/>
                  <w:right w:w="108" w:type="dxa"/>
                </w:tblCellMar>
              </w:tblPrEx>
              <w:trPr>
                <w:trHeight w:val="397" w:hRule="atLeast"/>
                <w:jc w:val="center"/>
              </w:trPr>
              <w:tc>
                <w:tcPr>
                  <w:tcW w:w="113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评价阶段</w:t>
                  </w:r>
                </w:p>
              </w:tc>
              <w:tc>
                <w:tcPr>
                  <w:tcW w:w="113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评价项目</w:t>
                  </w:r>
                </w:p>
              </w:tc>
              <w:tc>
                <w:tcPr>
                  <w:tcW w:w="2088"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现状评价因子</w:t>
                  </w:r>
                </w:p>
              </w:tc>
              <w:tc>
                <w:tcPr>
                  <w:tcW w:w="852"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单位</w:t>
                  </w:r>
                </w:p>
              </w:tc>
              <w:tc>
                <w:tcPr>
                  <w:tcW w:w="2327"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预测评价因子</w:t>
                  </w:r>
                </w:p>
              </w:tc>
              <w:tc>
                <w:tcPr>
                  <w:tcW w:w="85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单位</w:t>
                  </w:r>
                </w:p>
              </w:tc>
            </w:tr>
            <w:tr>
              <w:tblPrEx>
                <w:tblLayout w:type="fixed"/>
                <w:tblCellMar>
                  <w:top w:w="0" w:type="dxa"/>
                  <w:left w:w="108" w:type="dxa"/>
                  <w:bottom w:w="0" w:type="dxa"/>
                  <w:right w:w="108" w:type="dxa"/>
                </w:tblCellMar>
              </w:tblPrEx>
              <w:trPr>
                <w:trHeight w:val="648" w:hRule="atLeast"/>
                <w:jc w:val="center"/>
              </w:trPr>
              <w:tc>
                <w:tcPr>
                  <w:tcW w:w="1131" w:type="dxa"/>
                  <w:tcBorders>
                    <w:top w:val="nil"/>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施工期</w:t>
                  </w:r>
                </w:p>
              </w:tc>
              <w:tc>
                <w:tcPr>
                  <w:tcW w:w="113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声环境</w:t>
                  </w:r>
                </w:p>
              </w:tc>
              <w:tc>
                <w:tcPr>
                  <w:tcW w:w="2088" w:type="dxa"/>
                  <w:tcBorders>
                    <w:top w:val="single" w:color="auto" w:sz="4" w:space="0"/>
                    <w:left w:val="nil"/>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昼间、夜间等效声级Leq</w:t>
                  </w:r>
                </w:p>
              </w:tc>
              <w:tc>
                <w:tcPr>
                  <w:tcW w:w="852" w:type="dxa"/>
                  <w:tcBorders>
                    <w:top w:val="single" w:color="auto" w:sz="4" w:space="0"/>
                    <w:left w:val="nil"/>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dB(A)</w:t>
                  </w:r>
                </w:p>
              </w:tc>
              <w:tc>
                <w:tcPr>
                  <w:tcW w:w="2327" w:type="dxa"/>
                  <w:tcBorders>
                    <w:top w:val="single" w:color="auto" w:sz="4" w:space="0"/>
                    <w:left w:val="nil"/>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昼间、夜间等效声级Leq</w:t>
                  </w:r>
                </w:p>
              </w:tc>
              <w:tc>
                <w:tcPr>
                  <w:tcW w:w="853" w:type="dxa"/>
                  <w:tcBorders>
                    <w:top w:val="single" w:color="auto" w:sz="4" w:space="0"/>
                    <w:left w:val="nil"/>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dB(A)</w:t>
                  </w:r>
                </w:p>
              </w:tc>
            </w:tr>
            <w:tr>
              <w:tblPrEx>
                <w:tblLayout w:type="fixed"/>
                <w:tblCellMar>
                  <w:top w:w="0" w:type="dxa"/>
                  <w:left w:w="108" w:type="dxa"/>
                  <w:bottom w:w="0" w:type="dxa"/>
                  <w:right w:w="108" w:type="dxa"/>
                </w:tblCellMar>
              </w:tblPrEx>
              <w:trPr>
                <w:trHeight w:val="397" w:hRule="atLeast"/>
                <w:jc w:val="center"/>
              </w:trPr>
              <w:tc>
                <w:tcPr>
                  <w:tcW w:w="1131" w:type="dxa"/>
                  <w:vMerge w:val="restart"/>
                  <w:tcBorders>
                    <w:top w:val="nil"/>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运行期</w:t>
                  </w:r>
                </w:p>
              </w:tc>
              <w:tc>
                <w:tcPr>
                  <w:tcW w:w="1133" w:type="dxa"/>
                  <w:vMerge w:val="restar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电磁环境</w:t>
                  </w:r>
                </w:p>
              </w:tc>
              <w:tc>
                <w:tcPr>
                  <w:tcW w:w="2088"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工频电场</w:t>
                  </w:r>
                </w:p>
              </w:tc>
              <w:tc>
                <w:tcPr>
                  <w:tcW w:w="852"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kV/m</w:t>
                  </w:r>
                </w:p>
              </w:tc>
              <w:tc>
                <w:tcPr>
                  <w:tcW w:w="2327"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工频电场</w:t>
                  </w:r>
                </w:p>
              </w:tc>
              <w:tc>
                <w:tcPr>
                  <w:tcW w:w="85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kV/m</w:t>
                  </w:r>
                </w:p>
              </w:tc>
            </w:tr>
            <w:tr>
              <w:tblPrEx>
                <w:tblLayout w:type="fixed"/>
                <w:tblCellMar>
                  <w:top w:w="0" w:type="dxa"/>
                  <w:left w:w="108" w:type="dxa"/>
                  <w:bottom w:w="0" w:type="dxa"/>
                  <w:right w:w="108" w:type="dxa"/>
                </w:tblCellMar>
              </w:tblPrEx>
              <w:trPr>
                <w:trHeight w:val="397" w:hRule="atLeast"/>
                <w:jc w:val="center"/>
              </w:trPr>
              <w:tc>
                <w:tcPr>
                  <w:tcW w:w="1131"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rPr>
                  </w:pPr>
                </w:p>
              </w:tc>
              <w:tc>
                <w:tcPr>
                  <w:tcW w:w="1133"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olor w:val="auto"/>
                    </w:rPr>
                  </w:pPr>
                </w:p>
              </w:tc>
              <w:tc>
                <w:tcPr>
                  <w:tcW w:w="2088"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工频磁场</w:t>
                  </w:r>
                </w:p>
              </w:tc>
              <w:tc>
                <w:tcPr>
                  <w:tcW w:w="852"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μT</w:t>
                  </w:r>
                </w:p>
              </w:tc>
              <w:tc>
                <w:tcPr>
                  <w:tcW w:w="2327"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工频磁场</w:t>
                  </w:r>
                </w:p>
              </w:tc>
              <w:tc>
                <w:tcPr>
                  <w:tcW w:w="85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μT</w:t>
                  </w:r>
                </w:p>
              </w:tc>
            </w:tr>
            <w:tr>
              <w:tblPrEx>
                <w:tblLayout w:type="fixed"/>
                <w:tblCellMar>
                  <w:top w:w="0" w:type="dxa"/>
                  <w:left w:w="108" w:type="dxa"/>
                  <w:bottom w:w="0" w:type="dxa"/>
                  <w:right w:w="108" w:type="dxa"/>
                </w:tblCellMar>
              </w:tblPrEx>
              <w:trPr>
                <w:trHeight w:val="693" w:hRule="atLeast"/>
                <w:jc w:val="center"/>
              </w:trPr>
              <w:tc>
                <w:tcPr>
                  <w:tcW w:w="1131"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rPr>
                  </w:pPr>
                </w:p>
              </w:tc>
              <w:tc>
                <w:tcPr>
                  <w:tcW w:w="113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声环境</w:t>
                  </w:r>
                </w:p>
              </w:tc>
              <w:tc>
                <w:tcPr>
                  <w:tcW w:w="2088"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昼间、夜间等效声级Leq</w:t>
                  </w:r>
                </w:p>
              </w:tc>
              <w:tc>
                <w:tcPr>
                  <w:tcW w:w="852"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dB(A)</w:t>
                  </w:r>
                </w:p>
              </w:tc>
              <w:tc>
                <w:tcPr>
                  <w:tcW w:w="2327"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昼间、夜间等效声级Leq</w:t>
                  </w:r>
                </w:p>
              </w:tc>
              <w:tc>
                <w:tcPr>
                  <w:tcW w:w="85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olor w:val="auto"/>
                    </w:rPr>
                  </w:pPr>
                  <w:r>
                    <w:rPr>
                      <w:rFonts w:ascii="Times New Roman" w:hAnsi="Times New Roman"/>
                      <w:color w:val="auto"/>
                    </w:rPr>
                    <w:t>dB(A)</w:t>
                  </w:r>
                </w:p>
              </w:tc>
            </w:tr>
          </w:tbl>
          <w:p>
            <w:pPr>
              <w:snapToGrid w:val="0"/>
              <w:spacing w:line="360" w:lineRule="auto"/>
              <w:contextualSpacing/>
              <w:rPr>
                <w:rFonts w:ascii="Times New Roman" w:hAnsi="Times New Roman"/>
                <w:b/>
                <w:bCs/>
                <w:color w:val="auto"/>
              </w:rPr>
            </w:pPr>
            <w:bookmarkStart w:id="7" w:name="_Toc358453188"/>
          </w:p>
          <w:p>
            <w:pPr>
              <w:keepNext w:val="0"/>
              <w:keepLines w:val="0"/>
              <w:pageBreakBefore w:val="0"/>
              <w:widowControl w:val="0"/>
              <w:kinsoku/>
              <w:wordWrap/>
              <w:overflowPunct/>
              <w:topLinePunct w:val="0"/>
              <w:autoSpaceDE/>
              <w:autoSpaceDN/>
              <w:bidi w:val="0"/>
              <w:adjustRightInd/>
              <w:snapToGrid w:val="0"/>
              <w:spacing w:line="360" w:lineRule="auto"/>
              <w:contextualSpacing/>
              <w:textAlignment w:val="auto"/>
              <w:outlineLvl w:val="9"/>
              <w:rPr>
                <w:rFonts w:ascii="Times New Roman" w:hAnsi="Times New Roman"/>
                <w:b/>
                <w:bCs/>
                <w:color w:val="auto"/>
              </w:rPr>
            </w:pPr>
            <w:r>
              <w:rPr>
                <w:rFonts w:ascii="Times New Roman" w:hAnsi="Times New Roman"/>
                <w:b/>
                <w:bCs/>
                <w:color w:val="auto"/>
              </w:rPr>
              <w:t>1.1.3评价工作等级</w:t>
            </w:r>
            <w:bookmarkEnd w:id="7"/>
          </w:p>
          <w:p>
            <w:pPr>
              <w:snapToGrid w:val="0"/>
              <w:spacing w:line="360" w:lineRule="auto"/>
              <w:ind w:firstLine="420" w:firstLineChars="200"/>
              <w:contextualSpacing/>
              <w:rPr>
                <w:rFonts w:ascii="Times New Roman" w:hAnsi="Times New Roman"/>
                <w:color w:val="auto"/>
              </w:rPr>
            </w:pPr>
            <w:r>
              <w:rPr>
                <w:rFonts w:ascii="Times New Roman" w:hAnsi="Times New Roman"/>
                <w:color w:val="auto"/>
              </w:rPr>
              <w:t>依据《建设项目环境影响评价技术导则 总纲》（HJ2.1-2016）、《环境影响评价技术导则 输变电工程》（HJ24-2014）、《环境影响评价技术导则</w:t>
            </w:r>
            <w:r>
              <w:rPr>
                <w:rFonts w:hint="eastAsia" w:ascii="Times New Roman" w:hAnsi="Times New Roman"/>
                <w:color w:val="auto"/>
                <w:lang w:val="en-US" w:eastAsia="zh-CN"/>
              </w:rPr>
              <w:t xml:space="preserve"> </w:t>
            </w:r>
            <w:r>
              <w:rPr>
                <w:rFonts w:ascii="Times New Roman" w:hAnsi="Times New Roman"/>
                <w:color w:val="auto"/>
              </w:rPr>
              <w:t>声环境》（HJ2.4-2009）和《环境影响评价技术导则 生态影响》（HJ19 2011）、《环境影响评价技术导则</w:t>
            </w:r>
            <w:r>
              <w:rPr>
                <w:rFonts w:hint="eastAsia" w:ascii="Times New Roman" w:hAnsi="Times New Roman"/>
                <w:color w:val="auto"/>
                <w:lang w:val="en-US" w:eastAsia="zh-CN"/>
              </w:rPr>
              <w:t xml:space="preserve"> </w:t>
            </w:r>
            <w:r>
              <w:rPr>
                <w:rFonts w:ascii="Times New Roman" w:hAnsi="Times New Roman"/>
                <w:color w:val="auto"/>
              </w:rPr>
              <w:t>地</w:t>
            </w:r>
            <w:r>
              <w:rPr>
                <w:rFonts w:hint="eastAsia" w:ascii="Times New Roman" w:hAnsi="Times New Roman"/>
                <w:color w:val="auto"/>
                <w:lang w:eastAsia="zh-CN"/>
              </w:rPr>
              <w:t>表</w:t>
            </w:r>
            <w:r>
              <w:rPr>
                <w:rFonts w:ascii="Times New Roman" w:hAnsi="Times New Roman"/>
                <w:color w:val="auto"/>
              </w:rPr>
              <w:t>水环境》（HJ2.3-</w:t>
            </w:r>
            <w:r>
              <w:rPr>
                <w:rFonts w:hint="eastAsia" w:ascii="Times New Roman" w:hAnsi="Times New Roman"/>
                <w:color w:val="auto"/>
              </w:rPr>
              <w:t>2018</w:t>
            </w:r>
            <w:r>
              <w:rPr>
                <w:rFonts w:ascii="Times New Roman" w:hAnsi="Times New Roman"/>
                <w:color w:val="auto"/>
              </w:rPr>
              <w:t>）确定本次评价工作的等级。</w:t>
            </w:r>
          </w:p>
          <w:p>
            <w:pPr>
              <w:snapToGrid w:val="0"/>
              <w:spacing w:line="360" w:lineRule="auto"/>
              <w:ind w:firstLine="420" w:firstLineChars="200"/>
              <w:contextualSpacing/>
              <w:rPr>
                <w:rFonts w:ascii="Times New Roman" w:hAnsi="Times New Roman"/>
                <w:color w:val="auto"/>
              </w:rPr>
            </w:pPr>
            <w:bookmarkStart w:id="8" w:name="_Toc192668439"/>
            <w:r>
              <w:rPr>
                <w:rFonts w:ascii="Times New Roman" w:hAnsi="Times New Roman"/>
                <w:color w:val="auto"/>
              </w:rPr>
              <w:t>•电磁环境</w:t>
            </w:r>
            <w:bookmarkEnd w:id="8"/>
          </w:p>
          <w:p>
            <w:pPr>
              <w:spacing w:line="360" w:lineRule="auto"/>
              <w:ind w:firstLine="420" w:firstLineChars="200"/>
              <w:rPr>
                <w:rFonts w:ascii="Times New Roman" w:hAnsi="Times New Roman"/>
                <w:color w:val="auto"/>
              </w:rPr>
            </w:pPr>
            <w:r>
              <w:rPr>
                <w:rFonts w:ascii="Times New Roman" w:hAnsi="Times New Roman"/>
                <w:color w:val="auto"/>
              </w:rPr>
              <w:t>依据《环境影响评价技术导则 输变电工程》（HJ24-2014）中规定，电磁环境影响评价工作等级的划分见表1-4。</w:t>
            </w:r>
          </w:p>
          <w:p>
            <w:pPr>
              <w:jc w:val="center"/>
              <w:rPr>
                <w:rFonts w:ascii="Times New Roman" w:hAnsi="Times New Roman"/>
                <w:b/>
                <w:bCs/>
                <w:color w:val="auto"/>
                <w:kern w:val="0"/>
              </w:rPr>
            </w:pPr>
            <w:r>
              <w:rPr>
                <w:rFonts w:ascii="Times New Roman" w:hAnsi="Times New Roman"/>
                <w:b/>
                <w:bCs/>
                <w:color w:val="auto"/>
                <w:kern w:val="0"/>
              </w:rPr>
              <w:t>表1-4输变电工程电磁环境影响评价工作等级</w:t>
            </w:r>
          </w:p>
          <w:tbl>
            <w:tblPr>
              <w:tblStyle w:val="50"/>
              <w:tblW w:w="8234" w:type="dxa"/>
              <w:tblInd w:w="221" w:type="dxa"/>
              <w:tblLayout w:type="fixed"/>
              <w:tblCellMar>
                <w:top w:w="0" w:type="dxa"/>
                <w:left w:w="108" w:type="dxa"/>
                <w:bottom w:w="0" w:type="dxa"/>
                <w:right w:w="108" w:type="dxa"/>
              </w:tblCellMar>
            </w:tblPr>
            <w:tblGrid>
              <w:gridCol w:w="783"/>
              <w:gridCol w:w="1151"/>
              <w:gridCol w:w="1080"/>
              <w:gridCol w:w="3600"/>
              <w:gridCol w:w="1620"/>
            </w:tblGrid>
            <w:tr>
              <w:tblPrEx>
                <w:tblLayout w:type="fixed"/>
                <w:tblCellMar>
                  <w:top w:w="0" w:type="dxa"/>
                  <w:left w:w="108" w:type="dxa"/>
                  <w:bottom w:w="0" w:type="dxa"/>
                  <w:right w:w="108" w:type="dxa"/>
                </w:tblCellMar>
              </w:tblPrEx>
              <w:trPr>
                <w:trHeight w:val="340" w:hRule="atLeast"/>
              </w:trPr>
              <w:tc>
                <w:tcPr>
                  <w:tcW w:w="7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olor w:val="auto"/>
                    </w:rPr>
                  </w:pPr>
                  <w:r>
                    <w:rPr>
                      <w:rFonts w:ascii="Times New Roman" w:hAnsi="Times New Roman"/>
                      <w:color w:val="auto"/>
                    </w:rPr>
                    <w:t>分类</w:t>
                  </w:r>
                </w:p>
              </w:tc>
              <w:tc>
                <w:tcPr>
                  <w:tcW w:w="1151" w:type="dxa"/>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olor w:val="auto"/>
                    </w:rPr>
                  </w:pPr>
                  <w:r>
                    <w:rPr>
                      <w:rFonts w:ascii="Times New Roman" w:hAnsi="Times New Roman"/>
                      <w:color w:val="auto"/>
                    </w:rPr>
                    <w:t>电压等级</w:t>
                  </w:r>
                </w:p>
              </w:tc>
              <w:tc>
                <w:tcPr>
                  <w:tcW w:w="1080" w:type="dxa"/>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olor w:val="auto"/>
                    </w:rPr>
                  </w:pPr>
                  <w:r>
                    <w:rPr>
                      <w:rFonts w:ascii="Times New Roman" w:hAnsi="Times New Roman"/>
                      <w:color w:val="auto"/>
                    </w:rPr>
                    <w:t>工程</w:t>
                  </w:r>
                </w:p>
              </w:tc>
              <w:tc>
                <w:tcPr>
                  <w:tcW w:w="3600" w:type="dxa"/>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olor w:val="auto"/>
                    </w:rPr>
                  </w:pPr>
                  <w:r>
                    <w:rPr>
                      <w:rFonts w:ascii="Times New Roman" w:hAnsi="Times New Roman"/>
                      <w:color w:val="auto"/>
                    </w:rPr>
                    <w:t>条件</w:t>
                  </w:r>
                </w:p>
              </w:tc>
              <w:tc>
                <w:tcPr>
                  <w:tcW w:w="1620" w:type="dxa"/>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olor w:val="auto"/>
                    </w:rPr>
                  </w:pPr>
                  <w:r>
                    <w:rPr>
                      <w:rFonts w:ascii="Times New Roman" w:hAnsi="Times New Roman"/>
                      <w:color w:val="auto"/>
                    </w:rPr>
                    <w:t>评价工作等级</w:t>
                  </w:r>
                </w:p>
              </w:tc>
            </w:tr>
            <w:tr>
              <w:tblPrEx>
                <w:tblLayout w:type="fixed"/>
                <w:tblCellMar>
                  <w:top w:w="0" w:type="dxa"/>
                  <w:left w:w="108" w:type="dxa"/>
                  <w:bottom w:w="0" w:type="dxa"/>
                  <w:right w:w="108" w:type="dxa"/>
                </w:tblCellMar>
              </w:tblPrEx>
              <w:trPr>
                <w:trHeight w:val="340" w:hRule="atLeast"/>
              </w:trPr>
              <w:tc>
                <w:tcPr>
                  <w:tcW w:w="783" w:type="dxa"/>
                  <w:vMerge w:val="restart"/>
                  <w:tcBorders>
                    <w:top w:val="nil"/>
                    <w:left w:val="single" w:color="auto" w:sz="4" w:space="0"/>
                    <w:right w:val="single" w:color="auto" w:sz="4" w:space="0"/>
                  </w:tcBorders>
                  <w:vAlign w:val="center"/>
                </w:tcPr>
                <w:p>
                  <w:pPr>
                    <w:adjustRightInd w:val="0"/>
                    <w:snapToGrid w:val="0"/>
                    <w:spacing w:line="300" w:lineRule="exact"/>
                    <w:jc w:val="center"/>
                    <w:rPr>
                      <w:rFonts w:ascii="Times New Roman" w:hAnsi="Times New Roman"/>
                      <w:color w:val="auto"/>
                    </w:rPr>
                  </w:pPr>
                  <w:r>
                    <w:rPr>
                      <w:rFonts w:ascii="Times New Roman" w:hAnsi="Times New Roman"/>
                      <w:color w:val="auto"/>
                    </w:rPr>
                    <w:t>交流</w:t>
                  </w:r>
                </w:p>
              </w:tc>
              <w:tc>
                <w:tcPr>
                  <w:tcW w:w="1151" w:type="dxa"/>
                  <w:vMerge w:val="restart"/>
                  <w:tcBorders>
                    <w:top w:val="nil"/>
                    <w:left w:val="nil"/>
                    <w:right w:val="single" w:color="auto" w:sz="4" w:space="0"/>
                  </w:tcBorders>
                  <w:vAlign w:val="center"/>
                </w:tcPr>
                <w:p>
                  <w:pPr>
                    <w:adjustRightInd w:val="0"/>
                    <w:snapToGrid w:val="0"/>
                    <w:spacing w:line="300" w:lineRule="exact"/>
                    <w:jc w:val="center"/>
                    <w:rPr>
                      <w:rFonts w:ascii="Times New Roman" w:hAnsi="Times New Roman"/>
                      <w:color w:val="auto"/>
                    </w:rPr>
                  </w:pPr>
                  <w:r>
                    <w:rPr>
                      <w:rFonts w:hint="eastAsia" w:ascii="Times New Roman" w:hAnsi="Times New Roman"/>
                      <w:color w:val="auto"/>
                    </w:rPr>
                    <w:t>22</w:t>
                  </w:r>
                  <w:r>
                    <w:rPr>
                      <w:rFonts w:ascii="Times New Roman" w:hAnsi="Times New Roman"/>
                      <w:color w:val="auto"/>
                    </w:rPr>
                    <w:t>0kV</w:t>
                  </w:r>
                </w:p>
              </w:tc>
              <w:tc>
                <w:tcPr>
                  <w:tcW w:w="1080" w:type="dxa"/>
                  <w:vMerge w:val="restart"/>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olor w:val="auto"/>
                    </w:rPr>
                  </w:pPr>
                  <w:r>
                    <w:rPr>
                      <w:rFonts w:ascii="Times New Roman" w:hAnsi="Times New Roman"/>
                      <w:color w:val="auto"/>
                    </w:rPr>
                    <w:t>变电站</w:t>
                  </w:r>
                </w:p>
              </w:tc>
              <w:tc>
                <w:tcPr>
                  <w:tcW w:w="3600" w:type="dxa"/>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olor w:val="auto"/>
                    </w:rPr>
                  </w:pPr>
                  <w:r>
                    <w:rPr>
                      <w:rFonts w:ascii="Times New Roman" w:hAnsi="Times New Roman"/>
                      <w:color w:val="auto"/>
                    </w:rPr>
                    <w:t>户内式、地下式</w:t>
                  </w:r>
                </w:p>
              </w:tc>
              <w:tc>
                <w:tcPr>
                  <w:tcW w:w="1620" w:type="dxa"/>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olor w:val="auto"/>
                    </w:rPr>
                  </w:pPr>
                  <w:r>
                    <w:rPr>
                      <w:rFonts w:ascii="Times New Roman" w:hAnsi="Times New Roman"/>
                      <w:color w:val="auto"/>
                    </w:rPr>
                    <w:t>三级</w:t>
                  </w:r>
                </w:p>
              </w:tc>
            </w:tr>
            <w:tr>
              <w:tblPrEx>
                <w:tblLayout w:type="fixed"/>
                <w:tblCellMar>
                  <w:top w:w="0" w:type="dxa"/>
                  <w:left w:w="108" w:type="dxa"/>
                  <w:bottom w:w="0" w:type="dxa"/>
                  <w:right w:w="108" w:type="dxa"/>
                </w:tblCellMar>
              </w:tblPrEx>
              <w:trPr>
                <w:trHeight w:val="340" w:hRule="atLeast"/>
              </w:trPr>
              <w:tc>
                <w:tcPr>
                  <w:tcW w:w="783" w:type="dxa"/>
                  <w:vMerge w:val="continue"/>
                  <w:tcBorders>
                    <w:left w:val="single" w:color="auto" w:sz="4" w:space="0"/>
                    <w:right w:val="single" w:color="auto" w:sz="4" w:space="0"/>
                  </w:tcBorders>
                  <w:vAlign w:val="center"/>
                </w:tcPr>
                <w:p>
                  <w:pPr>
                    <w:widowControl/>
                    <w:jc w:val="center"/>
                    <w:rPr>
                      <w:rFonts w:ascii="Times New Roman" w:hAnsi="Times New Roman"/>
                      <w:color w:val="auto"/>
                    </w:rPr>
                  </w:pPr>
                </w:p>
              </w:tc>
              <w:tc>
                <w:tcPr>
                  <w:tcW w:w="1151" w:type="dxa"/>
                  <w:vMerge w:val="continue"/>
                  <w:tcBorders>
                    <w:left w:val="nil"/>
                    <w:right w:val="single" w:color="auto" w:sz="4" w:space="0"/>
                  </w:tcBorders>
                  <w:vAlign w:val="center"/>
                </w:tcPr>
                <w:p>
                  <w:pPr>
                    <w:widowControl/>
                    <w:jc w:val="center"/>
                    <w:rPr>
                      <w:rFonts w:ascii="Times New Roman" w:hAnsi="Times New Roman"/>
                      <w:color w:val="auto"/>
                    </w:rPr>
                  </w:pPr>
                </w:p>
              </w:tc>
              <w:tc>
                <w:tcPr>
                  <w:tcW w:w="1080" w:type="dxa"/>
                  <w:vMerge w:val="continue"/>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auto"/>
                    </w:rPr>
                  </w:pPr>
                </w:p>
              </w:tc>
              <w:tc>
                <w:tcPr>
                  <w:tcW w:w="3600" w:type="dxa"/>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olor w:val="auto"/>
                    </w:rPr>
                  </w:pPr>
                  <w:r>
                    <w:rPr>
                      <w:rFonts w:ascii="Times New Roman" w:hAnsi="Times New Roman"/>
                      <w:color w:val="auto"/>
                    </w:rPr>
                    <w:t>户外式</w:t>
                  </w:r>
                </w:p>
              </w:tc>
              <w:tc>
                <w:tcPr>
                  <w:tcW w:w="1620" w:type="dxa"/>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olor w:val="auto"/>
                    </w:rPr>
                  </w:pPr>
                  <w:r>
                    <w:rPr>
                      <w:rFonts w:ascii="Times New Roman" w:hAnsi="Times New Roman"/>
                      <w:color w:val="auto"/>
                    </w:rPr>
                    <w:t>二级</w:t>
                  </w:r>
                </w:p>
              </w:tc>
            </w:tr>
            <w:tr>
              <w:tblPrEx>
                <w:tblLayout w:type="fixed"/>
                <w:tblCellMar>
                  <w:top w:w="0" w:type="dxa"/>
                  <w:left w:w="108" w:type="dxa"/>
                  <w:bottom w:w="0" w:type="dxa"/>
                  <w:right w:w="108" w:type="dxa"/>
                </w:tblCellMar>
              </w:tblPrEx>
              <w:trPr>
                <w:trHeight w:val="340" w:hRule="atLeast"/>
              </w:trPr>
              <w:tc>
                <w:tcPr>
                  <w:tcW w:w="783" w:type="dxa"/>
                  <w:vMerge w:val="continue"/>
                  <w:tcBorders>
                    <w:left w:val="single" w:color="auto" w:sz="4" w:space="0"/>
                    <w:right w:val="single" w:color="auto" w:sz="4" w:space="0"/>
                  </w:tcBorders>
                  <w:vAlign w:val="center"/>
                </w:tcPr>
                <w:p>
                  <w:pPr>
                    <w:widowControl/>
                    <w:jc w:val="center"/>
                    <w:rPr>
                      <w:rFonts w:ascii="Times New Roman" w:hAnsi="Times New Roman"/>
                      <w:color w:val="auto"/>
                    </w:rPr>
                  </w:pPr>
                </w:p>
              </w:tc>
              <w:tc>
                <w:tcPr>
                  <w:tcW w:w="1151" w:type="dxa"/>
                  <w:vMerge w:val="continue"/>
                  <w:tcBorders>
                    <w:left w:val="nil"/>
                    <w:right w:val="single" w:color="auto" w:sz="4" w:space="0"/>
                  </w:tcBorders>
                  <w:vAlign w:val="center"/>
                </w:tcPr>
                <w:p>
                  <w:pPr>
                    <w:widowControl/>
                    <w:jc w:val="center"/>
                    <w:rPr>
                      <w:rFonts w:ascii="Times New Roman" w:hAnsi="Times New Roman"/>
                      <w:color w:val="auto"/>
                    </w:rPr>
                  </w:pPr>
                </w:p>
              </w:tc>
              <w:tc>
                <w:tcPr>
                  <w:tcW w:w="1080" w:type="dxa"/>
                  <w:vMerge w:val="restart"/>
                  <w:tcBorders>
                    <w:top w:val="single" w:color="auto" w:sz="4" w:space="0"/>
                    <w:left w:val="nil"/>
                    <w:right w:val="single" w:color="auto" w:sz="4" w:space="0"/>
                  </w:tcBorders>
                  <w:vAlign w:val="center"/>
                </w:tcPr>
                <w:p>
                  <w:pPr>
                    <w:widowControl/>
                    <w:jc w:val="center"/>
                    <w:rPr>
                      <w:rFonts w:ascii="Times New Roman" w:hAnsi="Times New Roman"/>
                      <w:color w:val="auto"/>
                    </w:rPr>
                  </w:pPr>
                  <w:r>
                    <w:rPr>
                      <w:rFonts w:ascii="Times New Roman" w:hAnsi="Times New Roman"/>
                      <w:color w:val="auto"/>
                    </w:rPr>
                    <w:t>输电线路</w:t>
                  </w:r>
                </w:p>
              </w:tc>
              <w:tc>
                <w:tcPr>
                  <w:tcW w:w="3600" w:type="dxa"/>
                  <w:tcBorders>
                    <w:top w:val="single" w:color="auto" w:sz="4" w:space="0"/>
                    <w:left w:val="nil"/>
                    <w:bottom w:val="single" w:color="auto" w:sz="4" w:space="0"/>
                    <w:right w:val="single" w:color="auto" w:sz="4" w:space="0"/>
                  </w:tcBorders>
                  <w:vAlign w:val="center"/>
                </w:tcPr>
                <w:p>
                  <w:pPr>
                    <w:adjustRightInd w:val="0"/>
                    <w:snapToGrid w:val="0"/>
                    <w:spacing w:line="300" w:lineRule="exact"/>
                    <w:rPr>
                      <w:rFonts w:ascii="Times New Roman" w:hAnsi="Times New Roman"/>
                      <w:color w:val="auto"/>
                    </w:rPr>
                  </w:pPr>
                  <w:r>
                    <w:rPr>
                      <w:rFonts w:ascii="Times New Roman" w:hAnsi="Times New Roman"/>
                      <w:color w:val="auto"/>
                    </w:rPr>
                    <w:t>1.地下电缆</w:t>
                  </w:r>
                </w:p>
                <w:p>
                  <w:pPr>
                    <w:adjustRightInd w:val="0"/>
                    <w:snapToGrid w:val="0"/>
                    <w:spacing w:line="300" w:lineRule="exact"/>
                    <w:rPr>
                      <w:rFonts w:ascii="Times New Roman" w:hAnsi="Times New Roman"/>
                      <w:color w:val="auto"/>
                    </w:rPr>
                  </w:pPr>
                  <w:r>
                    <w:rPr>
                      <w:rFonts w:ascii="Times New Roman" w:hAnsi="Times New Roman"/>
                      <w:color w:val="auto"/>
                    </w:rPr>
                    <w:t>2.边导线地面投影外两侧各15m范围内无电磁环境敏感目标的架空线</w:t>
                  </w:r>
                </w:p>
              </w:tc>
              <w:tc>
                <w:tcPr>
                  <w:tcW w:w="1620" w:type="dxa"/>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olor w:val="auto"/>
                    </w:rPr>
                  </w:pPr>
                  <w:r>
                    <w:rPr>
                      <w:rFonts w:ascii="Times New Roman" w:hAnsi="Times New Roman"/>
                      <w:color w:val="auto"/>
                    </w:rPr>
                    <w:t>三级</w:t>
                  </w:r>
                </w:p>
              </w:tc>
            </w:tr>
            <w:tr>
              <w:tblPrEx>
                <w:tblLayout w:type="fixed"/>
                <w:tblCellMar>
                  <w:top w:w="0" w:type="dxa"/>
                  <w:left w:w="108" w:type="dxa"/>
                  <w:bottom w:w="0" w:type="dxa"/>
                  <w:right w:w="108" w:type="dxa"/>
                </w:tblCellMar>
              </w:tblPrEx>
              <w:trPr>
                <w:trHeight w:val="340" w:hRule="atLeast"/>
              </w:trPr>
              <w:tc>
                <w:tcPr>
                  <w:tcW w:w="783" w:type="dxa"/>
                  <w:vMerge w:val="continue"/>
                  <w:tcBorders>
                    <w:left w:val="single" w:color="auto" w:sz="4" w:space="0"/>
                    <w:bottom w:val="single" w:color="auto" w:sz="4" w:space="0"/>
                    <w:right w:val="single" w:color="auto" w:sz="4" w:space="0"/>
                  </w:tcBorders>
                  <w:vAlign w:val="center"/>
                </w:tcPr>
                <w:p>
                  <w:pPr>
                    <w:widowControl/>
                    <w:jc w:val="center"/>
                    <w:rPr>
                      <w:rFonts w:ascii="Times New Roman" w:hAnsi="Times New Roman"/>
                      <w:color w:val="auto"/>
                    </w:rPr>
                  </w:pPr>
                </w:p>
              </w:tc>
              <w:tc>
                <w:tcPr>
                  <w:tcW w:w="1151" w:type="dxa"/>
                  <w:vMerge w:val="continue"/>
                  <w:tcBorders>
                    <w:left w:val="nil"/>
                    <w:bottom w:val="single" w:color="auto" w:sz="4" w:space="0"/>
                    <w:right w:val="single" w:color="auto" w:sz="4" w:space="0"/>
                  </w:tcBorders>
                  <w:vAlign w:val="center"/>
                </w:tcPr>
                <w:p>
                  <w:pPr>
                    <w:widowControl/>
                    <w:jc w:val="center"/>
                    <w:rPr>
                      <w:rFonts w:ascii="Times New Roman" w:hAnsi="Times New Roman"/>
                      <w:color w:val="auto"/>
                    </w:rPr>
                  </w:pPr>
                </w:p>
              </w:tc>
              <w:tc>
                <w:tcPr>
                  <w:tcW w:w="1080" w:type="dxa"/>
                  <w:vMerge w:val="continue"/>
                  <w:tcBorders>
                    <w:left w:val="nil"/>
                    <w:bottom w:val="single" w:color="auto" w:sz="4" w:space="0"/>
                    <w:right w:val="single" w:color="auto" w:sz="4" w:space="0"/>
                  </w:tcBorders>
                  <w:vAlign w:val="center"/>
                </w:tcPr>
                <w:p>
                  <w:pPr>
                    <w:widowControl/>
                    <w:jc w:val="center"/>
                    <w:rPr>
                      <w:rFonts w:ascii="Times New Roman" w:hAnsi="Times New Roman"/>
                      <w:color w:val="auto"/>
                    </w:rPr>
                  </w:pPr>
                </w:p>
              </w:tc>
              <w:tc>
                <w:tcPr>
                  <w:tcW w:w="3600" w:type="dxa"/>
                  <w:tcBorders>
                    <w:top w:val="single" w:color="auto" w:sz="4" w:space="0"/>
                    <w:left w:val="nil"/>
                    <w:bottom w:val="single" w:color="auto" w:sz="4" w:space="0"/>
                    <w:right w:val="single" w:color="auto" w:sz="4" w:space="0"/>
                  </w:tcBorders>
                  <w:vAlign w:val="center"/>
                </w:tcPr>
                <w:p>
                  <w:pPr>
                    <w:adjustRightInd w:val="0"/>
                    <w:snapToGrid w:val="0"/>
                    <w:spacing w:line="300" w:lineRule="exact"/>
                    <w:rPr>
                      <w:rFonts w:ascii="Times New Roman" w:hAnsi="Times New Roman"/>
                      <w:color w:val="auto"/>
                    </w:rPr>
                  </w:pPr>
                  <w:r>
                    <w:rPr>
                      <w:rFonts w:ascii="Times New Roman" w:hAnsi="Times New Roman"/>
                      <w:color w:val="auto"/>
                    </w:rPr>
                    <w:t>边导线地面投影外两侧各15m范围内有电磁环境敏感目标的架空线</w:t>
                  </w:r>
                </w:p>
              </w:tc>
              <w:tc>
                <w:tcPr>
                  <w:tcW w:w="1620" w:type="dxa"/>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olor w:val="auto"/>
                    </w:rPr>
                  </w:pPr>
                  <w:r>
                    <w:rPr>
                      <w:rFonts w:ascii="Times New Roman" w:hAnsi="Times New Roman"/>
                      <w:color w:val="auto"/>
                    </w:rPr>
                    <w:t>二级</w:t>
                  </w:r>
                </w:p>
              </w:tc>
            </w:tr>
          </w:tbl>
          <w:p>
            <w:pPr>
              <w:snapToGrid w:val="0"/>
              <w:spacing w:before="156" w:beforeLines="50" w:line="360" w:lineRule="auto"/>
              <w:ind w:firstLine="420" w:firstLineChars="200"/>
              <w:contextualSpacing/>
              <w:rPr>
                <w:rFonts w:ascii="Times New Roman" w:hAnsi="Times New Roman"/>
                <w:color w:val="auto"/>
              </w:rPr>
            </w:pPr>
            <w:r>
              <w:rPr>
                <w:rFonts w:ascii="Times New Roman" w:hAnsi="Times New Roman"/>
                <w:color w:val="auto"/>
              </w:rPr>
              <w:t>按照表1-</w:t>
            </w:r>
            <w:r>
              <w:rPr>
                <w:rFonts w:hint="eastAsia" w:ascii="Times New Roman" w:hAnsi="Times New Roman"/>
                <w:color w:val="auto"/>
              </w:rPr>
              <w:t>4</w:t>
            </w:r>
            <w:r>
              <w:rPr>
                <w:rFonts w:ascii="Times New Roman" w:hAnsi="Times New Roman"/>
                <w:color w:val="auto"/>
              </w:rPr>
              <w:t>分析，输电线路架空线边导线地面投影外两侧各15m范围内</w:t>
            </w:r>
            <w:r>
              <w:rPr>
                <w:rFonts w:hint="eastAsia" w:ascii="Times New Roman" w:hAnsi="Times New Roman"/>
                <w:color w:val="auto"/>
              </w:rPr>
              <w:t>有</w:t>
            </w:r>
            <w:r>
              <w:rPr>
                <w:rFonts w:ascii="Times New Roman" w:hAnsi="Times New Roman"/>
                <w:color w:val="auto"/>
              </w:rPr>
              <w:t>电磁环境敏感目标，电磁环境评价等级为</w:t>
            </w:r>
            <w:r>
              <w:rPr>
                <w:rFonts w:hint="eastAsia" w:ascii="Times New Roman" w:hAnsi="Times New Roman"/>
                <w:color w:val="auto"/>
              </w:rPr>
              <w:t>二</w:t>
            </w:r>
            <w:r>
              <w:rPr>
                <w:rFonts w:ascii="Times New Roman" w:hAnsi="Times New Roman"/>
                <w:color w:val="auto"/>
              </w:rPr>
              <w:t>级。</w:t>
            </w:r>
          </w:p>
          <w:p>
            <w:pPr>
              <w:snapToGrid w:val="0"/>
              <w:spacing w:line="360" w:lineRule="auto"/>
              <w:ind w:firstLine="420" w:firstLineChars="200"/>
              <w:contextualSpacing/>
              <w:rPr>
                <w:rFonts w:ascii="Times New Roman" w:hAnsi="Times New Roman"/>
                <w:color w:val="auto"/>
              </w:rPr>
            </w:pPr>
            <w:bookmarkStart w:id="9" w:name="_Toc192668440"/>
            <w:r>
              <w:rPr>
                <w:rFonts w:ascii="Times New Roman" w:hAnsi="Times New Roman"/>
                <w:color w:val="auto"/>
              </w:rPr>
              <w:t>•声</w:t>
            </w:r>
            <w:bookmarkEnd w:id="9"/>
            <w:r>
              <w:rPr>
                <w:rFonts w:ascii="Times New Roman" w:hAnsi="Times New Roman"/>
                <w:color w:val="auto"/>
              </w:rPr>
              <w:t>环境</w:t>
            </w:r>
          </w:p>
          <w:p>
            <w:pPr>
              <w:snapToGrid w:val="0"/>
              <w:spacing w:line="360" w:lineRule="auto"/>
              <w:ind w:firstLine="420" w:firstLineChars="200"/>
              <w:contextualSpacing/>
              <w:rPr>
                <w:rFonts w:hint="eastAsia" w:ascii="Times New Roman" w:hAnsi="Times New Roman"/>
                <w:color w:val="auto"/>
              </w:rPr>
            </w:pPr>
            <w:r>
              <w:rPr>
                <w:rFonts w:ascii="Times New Roman" w:hAnsi="Times New Roman"/>
                <w:color w:val="auto"/>
              </w:rPr>
              <w:t>根据《环境影响评价技术导则</w:t>
            </w:r>
            <w:r>
              <w:rPr>
                <w:rFonts w:hint="eastAsia" w:ascii="Times New Roman" w:hAnsi="Times New Roman"/>
                <w:color w:val="auto"/>
              </w:rPr>
              <w:t xml:space="preserve"> </w:t>
            </w:r>
            <w:r>
              <w:rPr>
                <w:rFonts w:ascii="Times New Roman" w:hAnsi="Times New Roman"/>
                <w:color w:val="auto"/>
              </w:rPr>
              <w:t>声环境》（HJ2.4-2009）规定：建设项目所处的声环境功能区为GB3096规定的1类、2类地区，或建设项目建设前后评价范围内敏感目标噪声级增高量达3dB(A)~5dB(A)（含5dB(A)），或受噪声影响人口数量增加较多时，按二级评价。</w:t>
            </w:r>
            <w:r>
              <w:rPr>
                <w:rFonts w:hint="eastAsia" w:ascii="Times New Roman" w:hAnsi="Times New Roman"/>
                <w:color w:val="auto"/>
              </w:rPr>
              <w:t>如建设项目符合两个以上级别的划分原则，按较高级别的评价等级评价。</w:t>
            </w:r>
          </w:p>
          <w:p>
            <w:pPr>
              <w:snapToGrid w:val="0"/>
              <w:spacing w:line="360" w:lineRule="auto"/>
              <w:ind w:firstLine="420" w:firstLineChars="200"/>
              <w:contextualSpacing/>
              <w:rPr>
                <w:rFonts w:hint="eastAsia" w:ascii="Times New Roman" w:hAnsi="Times New Roman"/>
                <w:color w:val="auto"/>
              </w:rPr>
            </w:pPr>
            <w:r>
              <w:rPr>
                <w:rFonts w:hint="eastAsia" w:ascii="Times New Roman" w:hAnsi="Times New Roman"/>
                <w:color w:val="auto"/>
              </w:rPr>
              <w:t>本工程位于乡村地区，</w:t>
            </w:r>
            <w:r>
              <w:rPr>
                <w:rFonts w:ascii="Times New Roman" w:hAnsi="Times New Roman"/>
                <w:color w:val="auto"/>
              </w:rPr>
              <w:t>执行声环境功能区的</w:t>
            </w:r>
            <w:r>
              <w:rPr>
                <w:rFonts w:hint="eastAsia" w:ascii="Times New Roman" w:hAnsi="Times New Roman"/>
                <w:color w:val="auto"/>
              </w:rPr>
              <w:t>1</w:t>
            </w:r>
            <w:r>
              <w:rPr>
                <w:rFonts w:ascii="Times New Roman" w:hAnsi="Times New Roman"/>
                <w:color w:val="auto"/>
              </w:rPr>
              <w:t>类区要求。因此，本次环评的声环境评价等级为二级。</w:t>
            </w:r>
          </w:p>
          <w:p>
            <w:pPr>
              <w:snapToGrid w:val="0"/>
              <w:spacing w:line="360" w:lineRule="auto"/>
              <w:ind w:firstLine="420" w:firstLineChars="200"/>
              <w:contextualSpacing/>
              <w:rPr>
                <w:rFonts w:ascii="Times New Roman" w:hAnsi="Times New Roman"/>
                <w:color w:val="auto"/>
              </w:rPr>
            </w:pPr>
            <w:bookmarkStart w:id="10" w:name="_Toc228848619"/>
            <w:r>
              <w:rPr>
                <w:rFonts w:ascii="Times New Roman" w:hAnsi="Times New Roman"/>
                <w:color w:val="auto"/>
              </w:rPr>
              <w:t>•生态环境</w:t>
            </w:r>
            <w:bookmarkEnd w:id="10"/>
          </w:p>
          <w:p>
            <w:pPr>
              <w:snapToGrid w:val="0"/>
              <w:spacing w:line="360" w:lineRule="auto"/>
              <w:ind w:firstLine="420" w:firstLineChars="200"/>
              <w:contextualSpacing/>
              <w:rPr>
                <w:rFonts w:hint="eastAsia" w:ascii="Times New Roman" w:hAnsi="Times New Roman"/>
                <w:color w:val="auto"/>
              </w:rPr>
            </w:pPr>
            <w:r>
              <w:rPr>
                <w:rFonts w:hint="eastAsia" w:ascii="Times New Roman" w:hAnsi="Times New Roman"/>
                <w:color w:val="auto"/>
              </w:rPr>
              <w:t>根据《环境影响评价技术导则 生态影响》（HJ19-2011）：“依据项目影响区域的生态敏感性和评价项目的工程占地（含水域）范围，包括永久占地和临时占地，划分生态影响评价工作等级”。划分原则见表1-5。</w:t>
            </w:r>
          </w:p>
          <w:p>
            <w:pPr>
              <w:jc w:val="center"/>
              <w:rPr>
                <w:rFonts w:ascii="Times New Roman" w:hAnsi="Times New Roman"/>
                <w:b/>
                <w:color w:val="auto"/>
              </w:rPr>
            </w:pPr>
            <w:r>
              <w:rPr>
                <w:rFonts w:hint="eastAsia" w:ascii="Times New Roman" w:hAnsi="Times New Roman"/>
                <w:b/>
                <w:color w:val="auto"/>
              </w:rPr>
              <w:t>表</w:t>
            </w:r>
            <w:r>
              <w:rPr>
                <w:rFonts w:ascii="Times New Roman" w:hAnsi="Times New Roman"/>
                <w:b/>
                <w:color w:val="auto"/>
              </w:rPr>
              <w:t>1</w:t>
            </w:r>
            <w:r>
              <w:rPr>
                <w:rFonts w:hint="eastAsia" w:ascii="Times New Roman" w:hAnsi="Times New Roman"/>
                <w:b/>
                <w:color w:val="auto"/>
              </w:rPr>
              <w:t>-</w:t>
            </w:r>
            <w:r>
              <w:rPr>
                <w:rFonts w:ascii="Times New Roman" w:hAnsi="Times New Roman"/>
                <w:b/>
                <w:color w:val="auto"/>
              </w:rPr>
              <w:t xml:space="preserve">5  </w:t>
            </w:r>
            <w:r>
              <w:rPr>
                <w:rFonts w:hint="eastAsia" w:ascii="Times New Roman" w:hAnsi="Times New Roman"/>
                <w:b/>
                <w:color w:val="auto"/>
              </w:rPr>
              <w:t>本工程生态评价工作等级划分依据</w:t>
            </w:r>
          </w:p>
          <w:tbl>
            <w:tblPr>
              <w:tblStyle w:val="50"/>
              <w:tblW w:w="8355" w:type="dxa"/>
              <w:jc w:val="center"/>
              <w:tblInd w:w="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2034"/>
              <w:gridCol w:w="2265"/>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5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生态评价工作等级划分标准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环境区域生态敏感性</w:t>
                  </w:r>
                </w:p>
              </w:tc>
              <w:tc>
                <w:tcPr>
                  <w:tcW w:w="20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长度</w:t>
                  </w:r>
                  <w:r>
                    <w:rPr>
                      <w:rFonts w:ascii="Times New Roman" w:hAnsi="Times New Roman"/>
                      <w:color w:val="auto"/>
                    </w:rPr>
                    <w:t>≥100km</w:t>
                  </w:r>
                  <w:r>
                    <w:rPr>
                      <w:rFonts w:hint="eastAsia" w:ascii="Times New Roman" w:hAnsi="Times New Roman"/>
                      <w:color w:val="auto"/>
                    </w:rPr>
                    <w:t>或面积</w:t>
                  </w:r>
                  <w:r>
                    <w:rPr>
                      <w:rFonts w:ascii="Times New Roman" w:hAnsi="Times New Roman"/>
                      <w:color w:val="auto"/>
                    </w:rPr>
                    <w:t>≥20km</w:t>
                  </w:r>
                  <w:r>
                    <w:rPr>
                      <w:rFonts w:ascii="Times New Roman" w:hAnsi="Times New Roman"/>
                      <w:color w:val="auto"/>
                      <w:vertAlign w:val="superscript"/>
                    </w:rPr>
                    <w:t>2</w:t>
                  </w:r>
                </w:p>
              </w:tc>
              <w:tc>
                <w:tcPr>
                  <w:tcW w:w="226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长度</w:t>
                  </w:r>
                  <w:r>
                    <w:rPr>
                      <w:rFonts w:ascii="Times New Roman" w:hAnsi="Times New Roman"/>
                      <w:color w:val="auto"/>
                    </w:rPr>
                    <w:t>50~100km</w:t>
                  </w:r>
                  <w:r>
                    <w:rPr>
                      <w:rFonts w:hint="eastAsia" w:ascii="Times New Roman" w:hAnsi="Times New Roman"/>
                      <w:color w:val="auto"/>
                    </w:rPr>
                    <w:t>或面积</w:t>
                  </w:r>
                  <w:r>
                    <w:rPr>
                      <w:rFonts w:ascii="Times New Roman" w:hAnsi="Times New Roman"/>
                      <w:color w:val="auto"/>
                    </w:rPr>
                    <w:t>2~20km</w:t>
                  </w:r>
                  <w:r>
                    <w:rPr>
                      <w:rFonts w:ascii="Times New Roman" w:hAnsi="Times New Roman"/>
                      <w:color w:val="auto"/>
                      <w:vertAlign w:val="superscript"/>
                    </w:rPr>
                    <w:t>2</w:t>
                  </w:r>
                </w:p>
              </w:tc>
              <w:tc>
                <w:tcPr>
                  <w:tcW w:w="19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长度</w:t>
                  </w:r>
                  <w:r>
                    <w:rPr>
                      <w:rFonts w:ascii="Times New Roman" w:hAnsi="Times New Roman"/>
                      <w:color w:val="auto"/>
                    </w:rPr>
                    <w:t>≤50km</w:t>
                  </w:r>
                  <w:r>
                    <w:rPr>
                      <w:rFonts w:hint="eastAsia" w:ascii="Times New Roman" w:hAnsi="Times New Roman"/>
                      <w:color w:val="auto"/>
                    </w:rPr>
                    <w:t>或面积</w:t>
                  </w:r>
                  <w:r>
                    <w:rPr>
                      <w:rFonts w:ascii="Times New Roman" w:hAnsi="Times New Roman"/>
                      <w:color w:val="auto"/>
                    </w:rPr>
                    <w:t>≤2km</w:t>
                  </w:r>
                  <w:r>
                    <w:rPr>
                      <w:rFonts w:ascii="Times New Roman" w:hAnsi="Times New Roman"/>
                      <w:color w:val="auto"/>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特殊生态敏感区</w:t>
                  </w:r>
                </w:p>
              </w:tc>
              <w:tc>
                <w:tcPr>
                  <w:tcW w:w="20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一级</w:t>
                  </w:r>
                </w:p>
              </w:tc>
              <w:tc>
                <w:tcPr>
                  <w:tcW w:w="226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一级</w:t>
                  </w:r>
                </w:p>
              </w:tc>
              <w:tc>
                <w:tcPr>
                  <w:tcW w:w="19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重要生态敏感区</w:t>
                  </w:r>
                </w:p>
              </w:tc>
              <w:tc>
                <w:tcPr>
                  <w:tcW w:w="20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一级</w:t>
                  </w:r>
                </w:p>
              </w:tc>
              <w:tc>
                <w:tcPr>
                  <w:tcW w:w="226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二级</w:t>
                  </w:r>
                </w:p>
              </w:tc>
              <w:tc>
                <w:tcPr>
                  <w:tcW w:w="19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一般区域</w:t>
                  </w:r>
                </w:p>
              </w:tc>
              <w:tc>
                <w:tcPr>
                  <w:tcW w:w="20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二级</w:t>
                  </w:r>
                </w:p>
              </w:tc>
              <w:tc>
                <w:tcPr>
                  <w:tcW w:w="226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三级</w:t>
                  </w:r>
                </w:p>
              </w:tc>
              <w:tc>
                <w:tcPr>
                  <w:tcW w:w="19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三级</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20" w:firstLineChars="200"/>
              <w:contextualSpacing/>
              <w:textAlignment w:val="auto"/>
              <w:outlineLvl w:val="9"/>
              <w:rPr>
                <w:rFonts w:hint="eastAsia" w:ascii="Times New Roman" w:hAnsi="Times New Roman"/>
                <w:color w:val="auto"/>
              </w:rPr>
            </w:pPr>
            <w:r>
              <w:rPr>
                <w:rFonts w:ascii="Times New Roman" w:hAnsi="Times New Roman"/>
                <w:color w:val="auto"/>
              </w:rPr>
              <w:t>按照《环境影响评价技术导则 生态影响》（HJ19 2011）规定，</w:t>
            </w:r>
            <w:r>
              <w:rPr>
                <w:rFonts w:hint="eastAsia" w:ascii="Times New Roman" w:hAnsi="Times New Roman"/>
                <w:color w:val="auto"/>
              </w:rPr>
              <w:t>输电线路工程属点－（架空）线工程，</w:t>
            </w:r>
            <w:r>
              <w:rPr>
                <w:rFonts w:ascii="Times New Roman" w:hAnsi="Times New Roman"/>
                <w:color w:val="auto"/>
              </w:rPr>
              <w:t>工程实际扰动区为点状分布</w:t>
            </w:r>
            <w:r>
              <w:rPr>
                <w:rFonts w:hint="eastAsia" w:ascii="Times New Roman" w:hAnsi="Times New Roman"/>
                <w:color w:val="auto"/>
              </w:rPr>
              <w:t>。本工程线路约有</w:t>
            </w:r>
            <w:r>
              <w:rPr>
                <w:rFonts w:hint="eastAsia" w:ascii="Times New Roman" w:hAnsi="Times New Roman"/>
                <w:color w:val="auto"/>
                <w:lang w:val="en-US" w:eastAsia="zh-CN"/>
              </w:rPr>
              <w:t>3.8</w:t>
            </w:r>
            <w:r>
              <w:rPr>
                <w:rFonts w:hint="eastAsia" w:ascii="Times New Roman" w:hAnsi="Times New Roman"/>
                <w:color w:val="auto"/>
              </w:rPr>
              <w:t>km路径处于</w:t>
            </w:r>
            <w:r>
              <w:rPr>
                <w:rFonts w:hint="eastAsia" w:ascii="Times New Roman" w:hAnsi="Times New Roman"/>
                <w:color w:val="auto"/>
                <w:lang w:eastAsia="zh-CN"/>
              </w:rPr>
              <w:t>南渡江龙塘饮用水</w:t>
            </w:r>
            <w:r>
              <w:rPr>
                <w:rFonts w:hint="eastAsia" w:ascii="Times New Roman" w:hAnsi="Times New Roman"/>
                <w:color w:val="auto"/>
              </w:rPr>
              <w:t>水源保护区二级保护区</w:t>
            </w:r>
            <w:r>
              <w:rPr>
                <w:rFonts w:hint="eastAsia" w:ascii="Times New Roman" w:hAnsi="Times New Roman"/>
                <w:color w:val="auto"/>
                <w:lang w:eastAsia="zh-CN"/>
              </w:rPr>
              <w:t>水域及陆域和准</w:t>
            </w:r>
            <w:r>
              <w:rPr>
                <w:rFonts w:hint="eastAsia" w:ascii="Times New Roman" w:hAnsi="Times New Roman"/>
                <w:color w:val="auto"/>
              </w:rPr>
              <w:t>保护区</w:t>
            </w:r>
            <w:r>
              <w:rPr>
                <w:rFonts w:hint="eastAsia" w:ascii="Times New Roman" w:hAnsi="Times New Roman"/>
                <w:color w:val="auto"/>
                <w:lang w:eastAsia="zh-CN"/>
              </w:rPr>
              <w:t>水域及陆域</w:t>
            </w:r>
            <w:r>
              <w:rPr>
                <w:rFonts w:hint="eastAsia" w:ascii="Times New Roman" w:hAnsi="Times New Roman"/>
                <w:color w:val="auto"/>
              </w:rPr>
              <w:t>范围内</w:t>
            </w:r>
            <w:r>
              <w:rPr>
                <w:rFonts w:hint="eastAsia" w:ascii="Times New Roman" w:hAnsi="Times New Roman"/>
                <w:color w:val="auto"/>
                <w:lang w:eastAsia="zh-CN"/>
              </w:rPr>
              <w:t>；</w:t>
            </w:r>
            <w:r>
              <w:rPr>
                <w:rFonts w:hint="eastAsia" w:ascii="Times New Roman" w:hAnsi="Times New Roman"/>
                <w:color w:val="auto"/>
              </w:rPr>
              <w:t>约有</w:t>
            </w:r>
            <w:r>
              <w:rPr>
                <w:rFonts w:hint="eastAsia" w:ascii="Times New Roman" w:hAnsi="Times New Roman"/>
                <w:color w:val="auto"/>
                <w:lang w:val="en-US" w:eastAsia="zh-CN"/>
              </w:rPr>
              <w:t>14.0</w:t>
            </w:r>
            <w:r>
              <w:rPr>
                <w:rFonts w:hint="eastAsia" w:ascii="Times New Roman" w:hAnsi="Times New Roman"/>
                <w:color w:val="auto"/>
              </w:rPr>
              <w:t>km位于</w:t>
            </w:r>
            <w:r>
              <w:rPr>
                <w:rFonts w:hint="eastAsia" w:ascii="Times New Roman" w:hAnsi="Times New Roman"/>
                <w:color w:val="auto"/>
                <w:lang w:eastAsia="zh-CN"/>
              </w:rPr>
              <w:t>羊山湿地多用途管理区</w:t>
            </w:r>
            <w:r>
              <w:rPr>
                <w:rFonts w:hint="eastAsia" w:ascii="Times New Roman" w:hAnsi="Times New Roman"/>
                <w:color w:val="auto"/>
              </w:rPr>
              <w:t>范围内</w:t>
            </w:r>
            <w:r>
              <w:rPr>
                <w:rFonts w:hint="eastAsia" w:ascii="Times New Roman" w:hAnsi="Times New Roman"/>
                <w:color w:val="auto"/>
                <w:lang w:eastAsia="zh-CN"/>
              </w:rPr>
              <w:t>；</w:t>
            </w:r>
            <w:r>
              <w:rPr>
                <w:rFonts w:hint="eastAsia" w:ascii="Times New Roman" w:hAnsi="Times New Roman"/>
                <w:color w:val="auto"/>
              </w:rPr>
              <w:t>约有</w:t>
            </w:r>
            <w:r>
              <w:rPr>
                <w:rFonts w:hint="eastAsia" w:ascii="Times New Roman" w:hAnsi="Times New Roman"/>
                <w:color w:val="auto"/>
                <w:lang w:val="en-US" w:eastAsia="zh-CN"/>
              </w:rPr>
              <w:t>3.6</w:t>
            </w:r>
            <w:r>
              <w:rPr>
                <w:rFonts w:hint="eastAsia" w:ascii="Times New Roman" w:hAnsi="Times New Roman"/>
                <w:color w:val="auto"/>
              </w:rPr>
              <w:t>km位于</w:t>
            </w:r>
            <w:r>
              <w:rPr>
                <w:rFonts w:hint="eastAsia" w:ascii="Times New Roman" w:hAnsi="Times New Roman"/>
                <w:color w:val="auto"/>
                <w:lang w:eastAsia="zh-CN"/>
              </w:rPr>
              <w:t>新旧沟乡村湿地</w:t>
            </w:r>
            <w:r>
              <w:rPr>
                <w:rFonts w:hint="eastAsia" w:ascii="Times New Roman" w:hAnsi="Times New Roman"/>
                <w:color w:val="auto"/>
              </w:rPr>
              <w:t>公园</w:t>
            </w:r>
            <w:r>
              <w:rPr>
                <w:rFonts w:hint="eastAsia" w:ascii="Times New Roman" w:hAnsi="Times New Roman"/>
                <w:color w:val="auto"/>
                <w:lang w:eastAsia="zh-CN"/>
              </w:rPr>
              <w:t>（</w:t>
            </w:r>
            <w:r>
              <w:rPr>
                <w:rFonts w:hint="eastAsia" w:ascii="Times New Roman" w:hAnsi="Times New Roman"/>
                <w:color w:val="auto"/>
              </w:rPr>
              <w:t>新旧沟湿地保护小区</w:t>
            </w:r>
            <w:r>
              <w:rPr>
                <w:rFonts w:hint="eastAsia" w:ascii="Times New Roman" w:hAnsi="Times New Roman"/>
                <w:color w:val="auto"/>
                <w:lang w:val="en-US" w:eastAsia="zh-CN"/>
              </w:rPr>
              <w:t>-市级重要湿地</w:t>
            </w:r>
            <w:r>
              <w:rPr>
                <w:rFonts w:hint="eastAsia" w:ascii="Times New Roman" w:hAnsi="Times New Roman"/>
                <w:color w:val="auto"/>
                <w:lang w:eastAsia="zh-CN"/>
              </w:rPr>
              <w:t>）</w:t>
            </w:r>
            <w:r>
              <w:rPr>
                <w:rFonts w:hint="eastAsia" w:ascii="Times New Roman" w:hAnsi="Times New Roman"/>
                <w:color w:val="auto"/>
              </w:rPr>
              <w:t>范围内，</w:t>
            </w:r>
            <w:r>
              <w:rPr>
                <w:rFonts w:hint="eastAsia" w:ascii="Times New Roman" w:hAnsi="Times New Roman"/>
                <w:color w:val="auto"/>
                <w:lang w:eastAsia="zh-CN"/>
              </w:rPr>
              <w:t>约有</w:t>
            </w:r>
            <w:r>
              <w:rPr>
                <w:rFonts w:hint="eastAsia" w:ascii="Times New Roman" w:hAnsi="Times New Roman"/>
                <w:color w:val="auto"/>
                <w:lang w:val="en-US" w:eastAsia="zh-CN"/>
              </w:rPr>
              <w:t>6.76km位于海南省生态保护红线区内。因这些生态敏感区规划范围互有重合，线路穿越长度累计约16.5km，</w:t>
            </w:r>
            <w:r>
              <w:rPr>
                <w:rFonts w:hint="eastAsia" w:ascii="Times New Roman" w:hAnsi="Times New Roman"/>
                <w:color w:val="auto"/>
              </w:rPr>
              <w:t>工程占地面积</w:t>
            </w:r>
            <w:r>
              <w:rPr>
                <w:rFonts w:hint="eastAsia" w:ascii="Times New Roman" w:hAnsi="Times New Roman"/>
                <w:color w:val="auto"/>
                <w:lang w:eastAsia="zh-CN"/>
              </w:rPr>
              <w:t>累计</w:t>
            </w:r>
            <w:r>
              <w:rPr>
                <w:rFonts w:hint="eastAsia" w:ascii="Times New Roman" w:hAnsi="Times New Roman"/>
                <w:color w:val="auto"/>
              </w:rPr>
              <w:t>约</w:t>
            </w:r>
            <w:r>
              <w:rPr>
                <w:rFonts w:hint="eastAsia" w:ascii="Times New Roman" w:hAnsi="Times New Roman"/>
                <w:color w:val="auto"/>
                <w:lang w:val="en-US" w:eastAsia="zh-CN"/>
              </w:rPr>
              <w:t>3920</w:t>
            </w:r>
            <w:r>
              <w:rPr>
                <w:rFonts w:hint="eastAsia" w:ascii="Times New Roman" w:hAnsi="Times New Roman"/>
                <w:color w:val="auto"/>
              </w:rPr>
              <w:t>m</w:t>
            </w:r>
            <w:r>
              <w:rPr>
                <w:rFonts w:hint="eastAsia" w:ascii="Times New Roman" w:hAnsi="Times New Roman"/>
                <w:color w:val="auto"/>
                <w:vertAlign w:val="superscript"/>
              </w:rPr>
              <w:t>2</w:t>
            </w:r>
            <w:r>
              <w:rPr>
                <w:rFonts w:hint="eastAsia" w:ascii="Times New Roman" w:hAnsi="Times New Roman"/>
                <w:color w:val="auto"/>
                <w:lang w:eastAsia="zh-CN"/>
              </w:rPr>
              <w:t>。线路穿越</w:t>
            </w:r>
            <w:r>
              <w:rPr>
                <w:rFonts w:hint="eastAsia" w:ascii="Times New Roman" w:hAnsi="Times New Roman"/>
                <w:color w:val="auto"/>
              </w:rPr>
              <w:t>长度小于50km，且工程占地面积远小于2km</w:t>
            </w:r>
            <w:r>
              <w:rPr>
                <w:rFonts w:hint="eastAsia" w:ascii="Times New Roman" w:hAnsi="Times New Roman"/>
                <w:color w:val="auto"/>
                <w:vertAlign w:val="superscript"/>
              </w:rPr>
              <w:t>2</w:t>
            </w:r>
            <w:r>
              <w:rPr>
                <w:rFonts w:hint="eastAsia" w:ascii="Times New Roman" w:hAnsi="Times New Roman"/>
                <w:color w:val="auto"/>
              </w:rPr>
              <w:t>。</w:t>
            </w:r>
            <w:r>
              <w:rPr>
                <w:rFonts w:ascii="Times New Roman" w:hAnsi="Times New Roman"/>
                <w:color w:val="auto"/>
              </w:rPr>
              <w:t>因此，本工程生态环境影响评价工作等级确定为三级。</w:t>
            </w:r>
          </w:p>
          <w:p>
            <w:pPr>
              <w:snapToGrid w:val="0"/>
              <w:spacing w:line="360" w:lineRule="auto"/>
              <w:ind w:firstLine="420" w:firstLineChars="200"/>
              <w:contextualSpacing/>
              <w:rPr>
                <w:rFonts w:ascii="Times New Roman" w:hAnsi="Times New Roman"/>
                <w:color w:val="auto"/>
              </w:rPr>
            </w:pPr>
            <w:r>
              <w:rPr>
                <w:rFonts w:ascii="Times New Roman" w:hAnsi="Times New Roman"/>
                <w:color w:val="auto"/>
              </w:rPr>
              <w:t>•地表水</w:t>
            </w:r>
          </w:p>
          <w:p>
            <w:pPr>
              <w:spacing w:line="360" w:lineRule="auto"/>
              <w:ind w:firstLine="420"/>
              <w:rPr>
                <w:color w:val="auto"/>
                <w:szCs w:val="21"/>
              </w:rPr>
            </w:pPr>
            <w:r>
              <w:rPr>
                <w:rFonts w:ascii="Times New Roman" w:hAnsi="Times New Roman"/>
                <w:color w:val="auto"/>
              </w:rPr>
              <w:t>220kV输电线路</w:t>
            </w:r>
            <w:r>
              <w:rPr>
                <w:rFonts w:hint="eastAsia" w:ascii="Times New Roman" w:hAnsi="Times New Roman"/>
                <w:color w:val="auto"/>
              </w:rPr>
              <w:t>施工期废水极少，运行期无废水产生</w:t>
            </w:r>
            <w:r>
              <w:rPr>
                <w:rFonts w:ascii="Times New Roman" w:hAnsi="Times New Roman"/>
                <w:color w:val="auto"/>
              </w:rPr>
              <w:t>。根据《环境影响评价技术导则</w:t>
            </w:r>
            <w:r>
              <w:rPr>
                <w:rFonts w:hint="eastAsia" w:ascii="Times New Roman" w:hAnsi="Times New Roman"/>
                <w:color w:val="auto"/>
                <w:lang w:val="en-US" w:eastAsia="zh-CN"/>
              </w:rPr>
              <w:t xml:space="preserve"> </w:t>
            </w:r>
            <w:r>
              <w:rPr>
                <w:rFonts w:ascii="Times New Roman" w:hAnsi="Times New Roman"/>
                <w:color w:val="auto"/>
              </w:rPr>
              <w:t>地</w:t>
            </w:r>
            <w:r>
              <w:rPr>
                <w:rFonts w:hint="eastAsia" w:ascii="Times New Roman" w:hAnsi="Times New Roman"/>
                <w:color w:val="auto"/>
                <w:lang w:eastAsia="zh-CN"/>
              </w:rPr>
              <w:t>表</w:t>
            </w:r>
            <w:r>
              <w:rPr>
                <w:rFonts w:ascii="Times New Roman" w:hAnsi="Times New Roman"/>
                <w:color w:val="auto"/>
              </w:rPr>
              <w:t>水环境》（HJ2.3-</w:t>
            </w:r>
            <w:r>
              <w:rPr>
                <w:rFonts w:hint="eastAsia" w:ascii="Times New Roman" w:hAnsi="Times New Roman"/>
                <w:color w:val="auto"/>
              </w:rPr>
              <w:t>2018</w:t>
            </w:r>
            <w:r>
              <w:rPr>
                <w:rFonts w:ascii="Times New Roman" w:hAnsi="Times New Roman"/>
                <w:color w:val="auto"/>
              </w:rPr>
              <w:t>），</w:t>
            </w:r>
            <w:r>
              <w:rPr>
                <w:rFonts w:hint="eastAsia" w:ascii="Times New Roman" w:hAnsi="Times New Roman"/>
                <w:color w:val="auto"/>
              </w:rPr>
              <w:t>评价等级可定级为三级B。</w:t>
            </w:r>
            <w:r>
              <w:rPr>
                <w:rFonts w:ascii="Times New Roman" w:hAnsi="Times New Roman"/>
                <w:color w:val="auto"/>
              </w:rPr>
              <w:t>本次</w:t>
            </w:r>
            <w:r>
              <w:rPr>
                <w:color w:val="auto"/>
                <w:szCs w:val="21"/>
              </w:rPr>
              <w:t>环评对水环境影响</w:t>
            </w:r>
            <w:r>
              <w:rPr>
                <w:rFonts w:hint="eastAsia"/>
                <w:color w:val="auto"/>
                <w:szCs w:val="21"/>
              </w:rPr>
              <w:t>以</w:t>
            </w:r>
            <w:r>
              <w:rPr>
                <w:color w:val="auto"/>
                <w:szCs w:val="21"/>
              </w:rPr>
              <w:t>分析说明为主。</w:t>
            </w:r>
          </w:p>
          <w:p>
            <w:pPr>
              <w:snapToGrid w:val="0"/>
              <w:spacing w:line="360" w:lineRule="auto"/>
              <w:ind w:firstLine="420" w:firstLineChars="200"/>
              <w:contextualSpacing/>
              <w:rPr>
                <w:rFonts w:ascii="Times New Roman" w:hAnsi="Times New Roman"/>
                <w:color w:val="auto"/>
              </w:rPr>
            </w:pPr>
            <w:r>
              <w:rPr>
                <w:rFonts w:ascii="Times New Roman" w:hAnsi="Times New Roman"/>
                <w:color w:val="auto"/>
              </w:rPr>
              <w:t>•大气</w:t>
            </w:r>
          </w:p>
          <w:p>
            <w:pPr>
              <w:snapToGrid w:val="0"/>
              <w:spacing w:line="360" w:lineRule="auto"/>
              <w:ind w:firstLine="420" w:firstLineChars="200"/>
              <w:contextualSpacing/>
              <w:rPr>
                <w:rFonts w:ascii="Times New Roman" w:hAnsi="Times New Roman"/>
                <w:color w:val="auto"/>
              </w:rPr>
            </w:pPr>
            <w:r>
              <w:rPr>
                <w:rFonts w:ascii="Times New Roman" w:hAnsi="Times New Roman"/>
                <w:color w:val="auto"/>
              </w:rPr>
              <w:t>本工程施工期间的施工扬尘影响很小，本次环评以施工扬尘对大气环境影响进行分析说明为主。</w:t>
            </w:r>
          </w:p>
          <w:p>
            <w:pPr>
              <w:snapToGrid w:val="0"/>
              <w:spacing w:line="360" w:lineRule="auto"/>
              <w:contextualSpacing/>
              <w:rPr>
                <w:rFonts w:ascii="Times New Roman" w:hAnsi="Times New Roman"/>
                <w:b/>
                <w:bCs/>
                <w:color w:val="auto"/>
              </w:rPr>
            </w:pPr>
            <w:bookmarkStart w:id="11" w:name="_Toc326924296"/>
            <w:r>
              <w:rPr>
                <w:rFonts w:ascii="Times New Roman" w:hAnsi="Times New Roman"/>
                <w:b/>
                <w:bCs/>
                <w:color w:val="auto"/>
              </w:rPr>
              <w:t>1.1.4评价范围</w:t>
            </w:r>
            <w:bookmarkEnd w:id="11"/>
          </w:p>
          <w:p>
            <w:pPr>
              <w:snapToGrid w:val="0"/>
              <w:spacing w:line="360" w:lineRule="auto"/>
              <w:ind w:firstLine="420" w:firstLineChars="200"/>
              <w:contextualSpacing/>
              <w:rPr>
                <w:rFonts w:ascii="Times New Roman" w:hAnsi="Times New Roman"/>
                <w:color w:val="auto"/>
              </w:rPr>
            </w:pPr>
            <w:r>
              <w:rPr>
                <w:rFonts w:ascii="Times New Roman" w:hAnsi="Times New Roman"/>
                <w:color w:val="auto"/>
              </w:rPr>
              <w:t>依据《环境影响评价技术导则 输变电工程》（HJ24-2014）、《环境影响评价技术导则 声环境》（HJ2.4-2009）和《环境影响评价技术导则 生态影响》（HJ19-2011）有关内容及规定，本工程的环境影响评价范围如下：</w:t>
            </w:r>
          </w:p>
          <w:p>
            <w:pPr>
              <w:snapToGrid w:val="0"/>
              <w:spacing w:line="360" w:lineRule="auto"/>
              <w:ind w:firstLine="420" w:firstLineChars="200"/>
              <w:contextualSpacing/>
              <w:rPr>
                <w:rFonts w:ascii="Times New Roman" w:hAnsi="Times New Roman"/>
                <w:color w:val="auto"/>
              </w:rPr>
            </w:pPr>
            <w:r>
              <w:rPr>
                <w:rFonts w:ascii="Times New Roman" w:hAnsi="Times New Roman"/>
                <w:color w:val="auto"/>
              </w:rPr>
              <w:t>• 工频电场、工频磁场：</w:t>
            </w:r>
          </w:p>
          <w:p>
            <w:pPr>
              <w:snapToGrid w:val="0"/>
              <w:spacing w:line="360" w:lineRule="auto"/>
              <w:ind w:firstLine="420" w:firstLineChars="200"/>
              <w:contextualSpacing/>
              <w:rPr>
                <w:rFonts w:ascii="Times New Roman" w:hAnsi="Times New Roman"/>
                <w:color w:val="auto"/>
              </w:rPr>
            </w:pPr>
            <w:r>
              <w:rPr>
                <w:rFonts w:ascii="Times New Roman" w:hAnsi="Times New Roman"/>
                <w:color w:val="auto"/>
              </w:rPr>
              <w:t>220kV架空输电线路边导线地面投影外两侧各40m内的范围。</w:t>
            </w:r>
          </w:p>
          <w:p>
            <w:pPr>
              <w:snapToGrid w:val="0"/>
              <w:spacing w:line="360" w:lineRule="auto"/>
              <w:ind w:firstLine="420" w:firstLineChars="200"/>
              <w:contextualSpacing/>
              <w:rPr>
                <w:rFonts w:ascii="Times New Roman" w:hAnsi="Times New Roman"/>
                <w:color w:val="auto"/>
              </w:rPr>
            </w:pPr>
            <w:r>
              <w:rPr>
                <w:rFonts w:ascii="Times New Roman" w:hAnsi="Times New Roman"/>
                <w:color w:val="auto"/>
              </w:rPr>
              <w:t>• 声环境：</w:t>
            </w:r>
          </w:p>
          <w:p>
            <w:pPr>
              <w:snapToGrid w:val="0"/>
              <w:spacing w:line="360" w:lineRule="auto"/>
              <w:ind w:firstLine="420" w:firstLineChars="200"/>
              <w:contextualSpacing/>
              <w:rPr>
                <w:rFonts w:ascii="Times New Roman" w:hAnsi="Times New Roman"/>
                <w:color w:val="auto"/>
              </w:rPr>
            </w:pPr>
            <w:r>
              <w:rPr>
                <w:rFonts w:ascii="Times New Roman" w:hAnsi="Times New Roman"/>
                <w:color w:val="auto"/>
              </w:rPr>
              <w:t>220kV架空输电线路边导线地面投影外两侧各40m内的范围。</w:t>
            </w:r>
          </w:p>
          <w:p>
            <w:pPr>
              <w:spacing w:line="360" w:lineRule="auto"/>
              <w:ind w:firstLine="420"/>
              <w:rPr>
                <w:rFonts w:ascii="Times New Roman" w:hAnsi="Times New Roman"/>
                <w:color w:val="auto"/>
              </w:rPr>
            </w:pPr>
            <w:r>
              <w:rPr>
                <w:rFonts w:ascii="Times New Roman" w:hAnsi="Times New Roman"/>
                <w:color w:val="auto"/>
              </w:rPr>
              <w:t>• 生态环境：</w:t>
            </w:r>
          </w:p>
          <w:p>
            <w:pPr>
              <w:spacing w:line="360" w:lineRule="auto"/>
              <w:ind w:firstLine="420"/>
              <w:rPr>
                <w:rFonts w:ascii="Times New Roman" w:hAnsi="Times New Roman"/>
                <w:color w:val="auto"/>
              </w:rPr>
            </w:pPr>
            <w:r>
              <w:rPr>
                <w:rFonts w:ascii="Times New Roman" w:hAnsi="Times New Roman"/>
                <w:color w:val="auto"/>
              </w:rPr>
              <w:t>220kV架空输电线路边导线地面投影外两侧各外延300m带状区域</w:t>
            </w:r>
            <w:r>
              <w:rPr>
                <w:rFonts w:hint="eastAsia" w:ascii="Times New Roman" w:hAnsi="Times New Roman"/>
                <w:color w:val="auto"/>
                <w:lang w:eastAsia="zh-CN"/>
              </w:rPr>
              <w:t>，涉及生态敏感区的架空输电线路段</w:t>
            </w:r>
            <w:r>
              <w:rPr>
                <w:rFonts w:ascii="Times New Roman" w:hAnsi="Times New Roman"/>
                <w:color w:val="auto"/>
              </w:rPr>
              <w:t>线路边导线地面投影外两侧各外延</w:t>
            </w:r>
            <w:r>
              <w:rPr>
                <w:rFonts w:hint="eastAsia" w:ascii="Times New Roman" w:hAnsi="Times New Roman"/>
                <w:color w:val="auto"/>
                <w:lang w:val="en-US" w:eastAsia="zh-CN"/>
              </w:rPr>
              <w:t>10</w:t>
            </w:r>
            <w:r>
              <w:rPr>
                <w:rFonts w:ascii="Times New Roman" w:hAnsi="Times New Roman"/>
                <w:color w:val="auto"/>
              </w:rPr>
              <w:t>00m带状区域。</w:t>
            </w:r>
          </w:p>
          <w:p>
            <w:pPr>
              <w:spacing w:line="360" w:lineRule="auto"/>
              <w:outlineLvl w:val="1"/>
              <w:rPr>
                <w:rFonts w:ascii="Times New Roman" w:hAnsi="Times New Roman"/>
                <w:b/>
                <w:bCs/>
                <w:color w:val="auto"/>
                <w:sz w:val="24"/>
                <w:szCs w:val="24"/>
              </w:rPr>
            </w:pPr>
            <w:r>
              <w:rPr>
                <w:rFonts w:ascii="Times New Roman" w:hAnsi="Times New Roman"/>
                <w:b/>
                <w:bCs/>
                <w:color w:val="auto"/>
                <w:sz w:val="24"/>
                <w:szCs w:val="24"/>
              </w:rPr>
              <w:t>1.2工程内容及规模</w:t>
            </w:r>
          </w:p>
          <w:p>
            <w:pPr>
              <w:spacing w:line="360" w:lineRule="auto"/>
              <w:rPr>
                <w:rFonts w:ascii="Times New Roman" w:hAnsi="Times New Roman"/>
                <w:b/>
                <w:bCs/>
                <w:color w:val="auto"/>
              </w:rPr>
            </w:pPr>
            <w:r>
              <w:rPr>
                <w:rFonts w:ascii="Times New Roman" w:hAnsi="Times New Roman"/>
                <w:b/>
                <w:bCs/>
                <w:color w:val="auto"/>
              </w:rPr>
              <w:t>1.2.1 建设必要性</w:t>
            </w:r>
          </w:p>
          <w:p>
            <w:pPr>
              <w:spacing w:line="360" w:lineRule="auto"/>
              <w:ind w:firstLine="420" w:firstLineChars="200"/>
              <w:rPr>
                <w:rFonts w:ascii="Times New Roman" w:hAnsi="Times New Roman"/>
                <w:color w:val="auto"/>
              </w:rPr>
            </w:pPr>
            <w:r>
              <w:rPr>
                <w:rFonts w:ascii="Times New Roman" w:hAnsi="Times New Roman"/>
                <w:color w:val="auto"/>
              </w:rPr>
              <w:t>根据负荷预测，海南省“十三五”末期将出现电源性缺电的现象，为缓解电力供应紧张的局面，改善电源点布局，南方电网公司在文昌地区投资建设文昌气电工程。</w:t>
            </w:r>
            <w:r>
              <w:rPr>
                <w:rFonts w:hint="eastAsia" w:ascii="Times New Roman" w:hAnsi="Times New Roman"/>
                <w:color w:val="auto"/>
                <w:lang w:eastAsia="zh-CN"/>
              </w:rPr>
              <w:t>为</w:t>
            </w:r>
            <w:r>
              <w:rPr>
                <w:rFonts w:ascii="Times New Roman" w:hAnsi="Times New Roman"/>
                <w:color w:val="auto"/>
              </w:rPr>
              <w:t>满足</w:t>
            </w:r>
            <w:r>
              <w:rPr>
                <w:rFonts w:hint="eastAsia" w:ascii="Times New Roman" w:hAnsi="Times New Roman"/>
                <w:color w:val="auto"/>
                <w:lang w:eastAsia="zh-CN"/>
              </w:rPr>
              <w:t>文昌燃气电厂（以下简称“</w:t>
            </w:r>
            <w:r>
              <w:rPr>
                <w:rFonts w:ascii="Times New Roman" w:hAnsi="Times New Roman"/>
                <w:color w:val="auto"/>
              </w:rPr>
              <w:t>文昌气电</w:t>
            </w:r>
            <w:r>
              <w:rPr>
                <w:rFonts w:hint="eastAsia" w:ascii="Times New Roman" w:hAnsi="Times New Roman"/>
                <w:color w:val="auto"/>
                <w:lang w:eastAsia="zh-CN"/>
              </w:rPr>
              <w:t>”）</w:t>
            </w:r>
            <w:r>
              <w:rPr>
                <w:rFonts w:ascii="Times New Roman" w:hAnsi="Times New Roman"/>
                <w:color w:val="auto"/>
              </w:rPr>
              <w:t>电力送出需求“N-1”的运行需求，同时降低海口、文昌地区对西部电源的依赖性，减轻北部受入断面的压力，缓解博厚</w:t>
            </w:r>
            <w:r>
              <w:rPr>
                <w:rFonts w:hint="eastAsia" w:ascii="Times New Roman" w:hAnsi="Times New Roman"/>
                <w:color w:val="auto"/>
                <w:lang w:val="en-US" w:eastAsia="zh-CN"/>
              </w:rPr>
              <w:t>~</w:t>
            </w:r>
            <w:r>
              <w:rPr>
                <w:rFonts w:ascii="Times New Roman" w:hAnsi="Times New Roman"/>
                <w:color w:val="auto"/>
              </w:rPr>
              <w:t>洛基</w:t>
            </w:r>
            <w:r>
              <w:rPr>
                <w:rFonts w:hint="eastAsia" w:ascii="Times New Roman" w:hAnsi="Times New Roman"/>
                <w:color w:val="auto"/>
                <w:lang w:val="en-US" w:eastAsia="zh-CN"/>
              </w:rPr>
              <w:t>~</w:t>
            </w:r>
            <w:r>
              <w:rPr>
                <w:rFonts w:ascii="Times New Roman" w:hAnsi="Times New Roman"/>
                <w:color w:val="auto"/>
              </w:rPr>
              <w:t>福山断面以及福丰断面不满足”N-1”安全稳定校核的问题，提高电网安全稳定运行水平。因此，建设文昌气电π接220kV玉洲至江东线路新建工程是十分必要的</w:t>
            </w:r>
            <w:r>
              <w:rPr>
                <w:rFonts w:hint="eastAsia" w:ascii="Times New Roman" w:hAnsi="Times New Roman"/>
                <w:color w:val="auto"/>
              </w:rPr>
              <w:t>。</w:t>
            </w:r>
          </w:p>
          <w:p>
            <w:pPr>
              <w:pStyle w:val="53"/>
              <w:spacing w:line="360" w:lineRule="auto"/>
              <w:ind w:firstLine="0"/>
              <w:rPr>
                <w:rFonts w:hint="default" w:ascii="Times New Roman" w:eastAsia="宋体"/>
                <w:b/>
                <w:color w:val="auto"/>
                <w:sz w:val="21"/>
                <w:szCs w:val="21"/>
                <w:lang w:val="en-US" w:eastAsia="zh-CN"/>
              </w:rPr>
            </w:pPr>
            <w:r>
              <w:rPr>
                <w:rFonts w:ascii="Times New Roman"/>
                <w:b/>
                <w:color w:val="auto"/>
                <w:sz w:val="21"/>
                <w:szCs w:val="21"/>
              </w:rPr>
              <w:t>1.2.2建设规模</w:t>
            </w:r>
            <w:r>
              <w:rPr>
                <w:rFonts w:hint="eastAsia" w:ascii="Times New Roman"/>
                <w:b/>
                <w:color w:val="auto"/>
                <w:sz w:val="21"/>
                <w:szCs w:val="21"/>
                <w:lang w:val="en-US" w:eastAsia="zh-CN"/>
              </w:rPr>
              <w:t xml:space="preserve">                        </w:t>
            </w:r>
          </w:p>
          <w:p>
            <w:pPr>
              <w:pStyle w:val="53"/>
              <w:spacing w:line="360" w:lineRule="auto"/>
              <w:ind w:firstLine="420"/>
              <w:rPr>
                <w:rFonts w:ascii="Times New Roman"/>
                <w:color w:val="auto"/>
                <w:sz w:val="21"/>
                <w:szCs w:val="21"/>
              </w:rPr>
            </w:pPr>
            <w:r>
              <w:rPr>
                <w:rFonts w:ascii="Times New Roman"/>
                <w:color w:val="auto"/>
                <w:sz w:val="21"/>
                <w:szCs w:val="21"/>
              </w:rPr>
              <w:t>本次评价的工程为</w:t>
            </w:r>
            <w:r>
              <w:rPr>
                <w:rFonts w:hint="eastAsia" w:ascii="Times New Roman"/>
                <w:color w:val="auto"/>
                <w:sz w:val="21"/>
                <w:szCs w:val="21"/>
              </w:rPr>
              <w:t>文昌气电π接220kV玉洲至江东线路新建工程</w:t>
            </w:r>
            <w:r>
              <w:rPr>
                <w:rFonts w:ascii="Times New Roman"/>
                <w:color w:val="auto"/>
                <w:sz w:val="21"/>
                <w:szCs w:val="21"/>
              </w:rPr>
              <w:t>，建设规模详见表1-</w:t>
            </w:r>
            <w:r>
              <w:rPr>
                <w:rFonts w:hint="eastAsia" w:ascii="Times New Roman"/>
                <w:color w:val="auto"/>
                <w:sz w:val="21"/>
                <w:szCs w:val="21"/>
              </w:rPr>
              <w:t>6</w:t>
            </w:r>
            <w:r>
              <w:rPr>
                <w:rFonts w:ascii="Times New Roman"/>
                <w:color w:val="auto"/>
                <w:sz w:val="21"/>
                <w:szCs w:val="21"/>
              </w:rPr>
              <w:t>。</w:t>
            </w:r>
          </w:p>
          <w:p>
            <w:pPr>
              <w:jc w:val="center"/>
              <w:rPr>
                <w:rFonts w:ascii="Times New Roman" w:hAnsi="Times New Roman"/>
                <w:b/>
                <w:color w:val="auto"/>
              </w:rPr>
            </w:pPr>
            <w:r>
              <w:rPr>
                <w:rFonts w:ascii="Times New Roman" w:hAnsi="Times New Roman"/>
                <w:b/>
                <w:color w:val="auto"/>
              </w:rPr>
              <w:t>表1-</w:t>
            </w:r>
            <w:r>
              <w:rPr>
                <w:rFonts w:hint="eastAsia" w:ascii="Times New Roman" w:hAnsi="Times New Roman"/>
                <w:b/>
                <w:color w:val="auto"/>
              </w:rPr>
              <w:t>6</w:t>
            </w:r>
            <w:r>
              <w:rPr>
                <w:rFonts w:ascii="Times New Roman" w:hAnsi="Times New Roman"/>
                <w:b/>
                <w:color w:val="auto"/>
              </w:rPr>
              <w:t xml:space="preserve"> 本工程构成及规模</w:t>
            </w:r>
          </w:p>
          <w:tbl>
            <w:tblPr>
              <w:tblStyle w:val="50"/>
              <w:tblW w:w="8043" w:type="dxa"/>
              <w:jc w:val="center"/>
              <w:tblInd w:w="-5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5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210" w:type="dxa"/>
                  <w:vAlign w:val="center"/>
                </w:tcPr>
                <w:p>
                  <w:pPr>
                    <w:jc w:val="center"/>
                    <w:rPr>
                      <w:rFonts w:ascii="Times New Roman" w:hAnsi="Times New Roman"/>
                      <w:b/>
                      <w:color w:val="auto"/>
                      <w:sz w:val="21"/>
                      <w:szCs w:val="21"/>
                    </w:rPr>
                  </w:pPr>
                  <w:r>
                    <w:rPr>
                      <w:rFonts w:ascii="Times New Roman" w:hAnsi="Times New Roman"/>
                      <w:b/>
                      <w:color w:val="auto"/>
                      <w:sz w:val="21"/>
                      <w:szCs w:val="21"/>
                    </w:rPr>
                    <w:t>项目名称</w:t>
                  </w:r>
                </w:p>
              </w:tc>
              <w:tc>
                <w:tcPr>
                  <w:tcW w:w="5833" w:type="dxa"/>
                  <w:vAlign w:val="center"/>
                </w:tcPr>
                <w:p>
                  <w:pPr>
                    <w:jc w:val="center"/>
                    <w:rPr>
                      <w:rFonts w:ascii="Times New Roman" w:hAnsi="Times New Roman"/>
                      <w:b/>
                      <w:color w:val="auto"/>
                      <w:sz w:val="21"/>
                      <w:szCs w:val="21"/>
                    </w:rPr>
                  </w:pPr>
                  <w:r>
                    <w:rPr>
                      <w:rFonts w:ascii="Times New Roman" w:hAnsi="Times New Roman"/>
                      <w:b/>
                      <w:color w:val="auto"/>
                      <w:sz w:val="21"/>
                      <w:szCs w:val="21"/>
                    </w:rPr>
                    <w:t>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21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color w:val="auto"/>
                      <w:sz w:val="21"/>
                      <w:szCs w:val="21"/>
                    </w:rPr>
                  </w:pPr>
                  <w:r>
                    <w:rPr>
                      <w:rFonts w:hint="eastAsia" w:ascii="Times New Roman" w:hAnsi="Times New Roman"/>
                      <w:color w:val="auto"/>
                      <w:sz w:val="21"/>
                      <w:szCs w:val="21"/>
                    </w:rPr>
                    <w:t>文昌气电π接220kV玉洲至江东线路新建工程</w:t>
                  </w:r>
                </w:p>
              </w:tc>
              <w:tc>
                <w:tcPr>
                  <w:tcW w:w="5833" w:type="dxa"/>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imes New Roman" w:hAnsi="Times New Roman"/>
                      <w:color w:val="auto"/>
                      <w:sz w:val="21"/>
                      <w:szCs w:val="21"/>
                    </w:rPr>
                  </w:pPr>
                  <w:r>
                    <w:rPr>
                      <w:rFonts w:hint="eastAsia" w:ascii="Times New Roman" w:hAnsi="Times New Roman"/>
                      <w:color w:val="auto"/>
                      <w:sz w:val="21"/>
                      <w:szCs w:val="21"/>
                      <w:lang w:eastAsia="zh-CN"/>
                    </w:rPr>
                    <w:t>线路自</w:t>
                  </w:r>
                  <w:r>
                    <w:rPr>
                      <w:rFonts w:hint="eastAsia" w:ascii="Times New Roman" w:hAnsi="Times New Roman"/>
                      <w:color w:val="auto"/>
                      <w:sz w:val="21"/>
                      <w:szCs w:val="21"/>
                    </w:rPr>
                    <w:t>文昌气电厂外电缆终端塔</w:t>
                  </w:r>
                  <w:r>
                    <w:rPr>
                      <w:rFonts w:hint="eastAsia" w:ascii="Times New Roman" w:hAnsi="Times New Roman"/>
                      <w:color w:val="auto"/>
                      <w:sz w:val="21"/>
                      <w:szCs w:val="21"/>
                      <w:lang w:eastAsia="zh-CN"/>
                    </w:rPr>
                    <w:t>起</w:t>
                  </w:r>
                  <w:r>
                    <w:rPr>
                      <w:rFonts w:hint="eastAsia" w:ascii="Times New Roman" w:hAnsi="Times New Roman"/>
                      <w:color w:val="auto"/>
                      <w:sz w:val="21"/>
                      <w:szCs w:val="21"/>
                    </w:rPr>
                    <w:t>新建同塔双回220kV线路至玉洲站旁的π接点，长度约2×55km，导线采用2×JL/LB1A-</w:t>
                  </w:r>
                  <w:r>
                    <w:rPr>
                      <w:rFonts w:hint="eastAsia" w:ascii="Times New Roman" w:hAnsi="Times New Roman"/>
                      <w:color w:val="auto"/>
                      <w:sz w:val="21"/>
                      <w:szCs w:val="21"/>
                      <w:lang w:val="en-US" w:eastAsia="zh-CN"/>
                    </w:rPr>
                    <w:t>40</w:t>
                  </w:r>
                  <w:r>
                    <w:rPr>
                      <w:rFonts w:hint="eastAsia" w:ascii="Times New Roman" w:hAnsi="Times New Roman"/>
                      <w:color w:val="auto"/>
                      <w:sz w:val="21"/>
                      <w:szCs w:val="21"/>
                    </w:rPr>
                    <w:t>0/</w:t>
                  </w:r>
                  <w:r>
                    <w:rPr>
                      <w:rFonts w:hint="eastAsia" w:ascii="Times New Roman" w:hAnsi="Times New Roman"/>
                      <w:color w:val="auto"/>
                      <w:sz w:val="21"/>
                      <w:szCs w:val="21"/>
                      <w:lang w:val="en-US" w:eastAsia="zh-CN"/>
                    </w:rPr>
                    <w:t>3</w:t>
                  </w:r>
                  <w:r>
                    <w:rPr>
                      <w:rFonts w:hint="eastAsia" w:ascii="Times New Roman" w:hAnsi="Times New Roman"/>
                      <w:color w:val="auto"/>
                      <w:sz w:val="21"/>
                      <w:szCs w:val="21"/>
                    </w:rPr>
                    <w:t>5铝包钢芯铝绞线，新建铁塔1</w:t>
                  </w:r>
                  <w:r>
                    <w:rPr>
                      <w:rFonts w:hint="eastAsia" w:ascii="Times New Roman" w:hAnsi="Times New Roman"/>
                      <w:color w:val="auto"/>
                      <w:sz w:val="21"/>
                      <w:szCs w:val="21"/>
                      <w:lang w:val="en-US" w:eastAsia="zh-CN"/>
                    </w:rPr>
                    <w:t>65</w:t>
                  </w:r>
                  <w:r>
                    <w:rPr>
                      <w:rFonts w:hint="eastAsia" w:ascii="Times New Roman" w:hAnsi="Times New Roman"/>
                      <w:color w:val="auto"/>
                      <w:sz w:val="21"/>
                      <w:szCs w:val="21"/>
                    </w:rPr>
                    <w:t>基。</w:t>
                  </w:r>
                </w:p>
              </w:tc>
            </w:tr>
          </w:tbl>
          <w:p>
            <w:pPr>
              <w:pStyle w:val="53"/>
              <w:spacing w:line="360" w:lineRule="auto"/>
              <w:ind w:firstLine="0"/>
              <w:rPr>
                <w:rFonts w:ascii="Times New Roman"/>
                <w:b/>
                <w:color w:val="auto"/>
                <w:sz w:val="21"/>
                <w:szCs w:val="21"/>
              </w:rPr>
            </w:pPr>
            <w:r>
              <w:rPr>
                <w:rFonts w:ascii="Times New Roman"/>
                <w:b/>
                <w:color w:val="auto"/>
                <w:sz w:val="21"/>
                <w:szCs w:val="21"/>
              </w:rPr>
              <w:t>1.2.3地理位置</w:t>
            </w:r>
          </w:p>
          <w:p>
            <w:pPr>
              <w:spacing w:line="360" w:lineRule="auto"/>
              <w:ind w:firstLine="359" w:firstLineChars="171"/>
              <w:rPr>
                <w:rFonts w:ascii="Times New Roman" w:hAnsi="Times New Roman"/>
                <w:color w:val="auto"/>
              </w:rPr>
            </w:pPr>
            <w:r>
              <w:rPr>
                <w:rFonts w:hint="eastAsia" w:ascii="Times New Roman"/>
                <w:color w:val="auto"/>
              </w:rPr>
              <w:t>文昌气电π接220kV玉洲至江东线路新建工程位于海南省</w:t>
            </w:r>
            <w:r>
              <w:rPr>
                <w:rFonts w:hint="eastAsia" w:ascii="Times New Roman"/>
                <w:color w:val="auto"/>
                <w:lang w:eastAsia="zh-CN"/>
              </w:rPr>
              <w:t>海口市龙华区、琼山区及美兰区</w:t>
            </w:r>
            <w:r>
              <w:rPr>
                <w:rFonts w:hint="eastAsia" w:ascii="Times New Roman"/>
                <w:color w:val="auto"/>
              </w:rPr>
              <w:t>和</w:t>
            </w:r>
            <w:r>
              <w:rPr>
                <w:rFonts w:hint="eastAsia" w:ascii="Times New Roman"/>
                <w:color w:val="auto"/>
                <w:lang w:eastAsia="zh-CN"/>
              </w:rPr>
              <w:t>文昌市东路镇</w:t>
            </w:r>
            <w:r>
              <w:rPr>
                <w:rFonts w:hint="eastAsia" w:ascii="Times New Roman"/>
                <w:color w:val="auto"/>
              </w:rPr>
              <w:t>境内。本工程地理位置示意图见</w:t>
            </w:r>
            <w:r>
              <w:rPr>
                <w:rFonts w:ascii="Times New Roman" w:hAnsi="Times New Roman"/>
                <w:color w:val="auto"/>
              </w:rPr>
              <w:t>图1所示。</w:t>
            </w:r>
          </w:p>
          <w:p>
            <w:pPr>
              <w:spacing w:line="360" w:lineRule="auto"/>
              <w:outlineLvl w:val="1"/>
              <w:rPr>
                <w:rFonts w:hint="eastAsia" w:ascii="Times New Roman" w:hAnsi="Times New Roman"/>
                <w:b/>
                <w:bCs/>
                <w:color w:val="auto"/>
                <w:sz w:val="24"/>
                <w:szCs w:val="24"/>
              </w:rPr>
            </w:pPr>
            <w:r>
              <w:rPr>
                <w:rFonts w:ascii="Times New Roman" w:hAnsi="Times New Roman"/>
                <w:b/>
                <w:bCs/>
                <w:color w:val="auto"/>
                <w:sz w:val="24"/>
                <w:szCs w:val="24"/>
              </w:rPr>
              <w:t>1.3工程概况</w:t>
            </w:r>
          </w:p>
          <w:p>
            <w:pPr>
              <w:pStyle w:val="53"/>
              <w:spacing w:line="360" w:lineRule="auto"/>
              <w:ind w:firstLine="0"/>
              <w:rPr>
                <w:rFonts w:ascii="Times New Roman"/>
                <w:b/>
                <w:color w:val="auto"/>
                <w:sz w:val="21"/>
                <w:szCs w:val="21"/>
              </w:rPr>
            </w:pPr>
            <w:r>
              <w:rPr>
                <w:rFonts w:ascii="Times New Roman"/>
                <w:b/>
                <w:color w:val="auto"/>
                <w:sz w:val="21"/>
                <w:szCs w:val="21"/>
              </w:rPr>
              <w:t>1.3.</w:t>
            </w:r>
            <w:r>
              <w:rPr>
                <w:rFonts w:hint="eastAsia" w:ascii="Times New Roman"/>
                <w:b/>
                <w:color w:val="auto"/>
                <w:sz w:val="21"/>
                <w:szCs w:val="21"/>
              </w:rPr>
              <w:t>1</w:t>
            </w:r>
            <w:r>
              <w:rPr>
                <w:rFonts w:ascii="Times New Roman"/>
                <w:b/>
                <w:color w:val="auto"/>
                <w:sz w:val="21"/>
                <w:szCs w:val="21"/>
              </w:rPr>
              <w:t>系统接线</w:t>
            </w:r>
          </w:p>
          <w:p>
            <w:pPr>
              <w:spacing w:line="360" w:lineRule="auto"/>
              <w:ind w:firstLine="420" w:firstLineChars="200"/>
              <w:rPr>
                <w:rFonts w:hint="eastAsia" w:ascii="Times New Roman"/>
                <w:color w:val="auto"/>
              </w:rPr>
            </w:pPr>
            <w:r>
              <w:rPr>
                <w:rFonts w:hint="eastAsia" w:ascii="Times New Roman"/>
                <w:color w:val="auto"/>
                <w:lang w:eastAsia="zh-CN"/>
              </w:rPr>
              <w:t>本工程</w:t>
            </w:r>
            <w:r>
              <w:rPr>
                <w:rFonts w:hint="eastAsia" w:ascii="Times New Roman"/>
                <w:color w:val="auto"/>
              </w:rPr>
              <w:t>为文昌气电的配套送出工程，新建2回线路π接220kV玉洲至江东</w:t>
            </w:r>
            <w:r>
              <w:rPr>
                <w:rFonts w:hint="eastAsia" w:ascii="Times New Roman"/>
                <w:color w:val="auto"/>
                <w:lang w:eastAsia="zh-CN"/>
              </w:rPr>
              <w:t>单回</w:t>
            </w:r>
            <w:r>
              <w:rPr>
                <w:rFonts w:hint="eastAsia" w:ascii="Times New Roman"/>
                <w:color w:val="auto"/>
              </w:rPr>
              <w:t>线路，形成文昌气电至玉洲、文昌气电至江东各一回线路。</w:t>
            </w:r>
          </w:p>
          <w:p>
            <w:pPr>
              <w:spacing w:line="360" w:lineRule="auto"/>
              <w:ind w:firstLine="420" w:firstLineChars="200"/>
              <w:rPr>
                <w:rFonts w:hint="eastAsia" w:ascii="Times New Roman" w:hAnsi="Times New Roman" w:eastAsia="宋体"/>
                <w:color w:val="auto"/>
                <w:lang w:eastAsia="zh-CN"/>
              </w:rPr>
            </w:pPr>
            <w:r>
              <w:rPr>
                <w:rFonts w:hint="eastAsia" w:ascii="Times New Roman" w:hAnsi="Times New Roman"/>
                <w:color w:val="auto"/>
                <w:lang w:eastAsia="zh-CN"/>
              </w:rPr>
              <w:t>同时在</w:t>
            </w:r>
            <w:r>
              <w:rPr>
                <w:rFonts w:hint="eastAsia" w:ascii="Times New Roman" w:hAnsi="Times New Roman"/>
                <w:color w:val="auto"/>
              </w:rPr>
              <w:t>220kV玉洲</w:t>
            </w:r>
            <w:r>
              <w:rPr>
                <w:rFonts w:hint="eastAsia" w:ascii="Times New Roman" w:hAnsi="Times New Roman"/>
                <w:color w:val="auto"/>
                <w:lang w:eastAsia="zh-CN"/>
              </w:rPr>
              <w:t>变电</w:t>
            </w:r>
            <w:r>
              <w:rPr>
                <w:rFonts w:hint="eastAsia" w:ascii="Times New Roman" w:hAnsi="Times New Roman"/>
                <w:color w:val="auto"/>
              </w:rPr>
              <w:t>站</w:t>
            </w:r>
            <w:r>
              <w:rPr>
                <w:rFonts w:hint="eastAsia" w:ascii="Times New Roman" w:hAnsi="Times New Roman"/>
                <w:color w:val="auto"/>
                <w:lang w:eastAsia="zh-CN"/>
              </w:rPr>
              <w:t>内</w:t>
            </w:r>
            <w:r>
              <w:rPr>
                <w:rFonts w:hint="eastAsia" w:ascii="Times New Roman" w:hAnsi="Times New Roman"/>
                <w:color w:val="auto"/>
              </w:rPr>
              <w:t>将原江东间隔改为文昌气电间隔，10kV#3母线新增2组8Mvar 电抗器组</w:t>
            </w:r>
            <w:r>
              <w:rPr>
                <w:rFonts w:hint="eastAsia" w:ascii="Times New Roman" w:hAnsi="Times New Roman"/>
                <w:color w:val="auto"/>
                <w:lang w:eastAsia="zh-CN"/>
              </w:rPr>
              <w:t>；在</w:t>
            </w:r>
            <w:r>
              <w:rPr>
                <w:rFonts w:hint="eastAsia" w:ascii="Times New Roman" w:hAnsi="Times New Roman"/>
                <w:color w:val="auto"/>
              </w:rPr>
              <w:t>220kV江东</w:t>
            </w:r>
            <w:r>
              <w:rPr>
                <w:rFonts w:hint="eastAsia" w:ascii="Times New Roman" w:hAnsi="Times New Roman"/>
                <w:color w:val="auto"/>
                <w:lang w:eastAsia="zh-CN"/>
              </w:rPr>
              <w:t>变电</w:t>
            </w:r>
            <w:r>
              <w:rPr>
                <w:rFonts w:hint="eastAsia" w:ascii="Times New Roman" w:hAnsi="Times New Roman"/>
                <w:color w:val="auto"/>
              </w:rPr>
              <w:t>站</w:t>
            </w:r>
            <w:r>
              <w:rPr>
                <w:rFonts w:hint="eastAsia" w:ascii="Times New Roman" w:hAnsi="Times New Roman"/>
                <w:color w:val="auto"/>
                <w:lang w:eastAsia="zh-CN"/>
              </w:rPr>
              <w:t>内</w:t>
            </w:r>
            <w:r>
              <w:rPr>
                <w:rFonts w:hint="eastAsia" w:ascii="Times New Roman" w:hAnsi="Times New Roman"/>
                <w:color w:val="auto"/>
              </w:rPr>
              <w:t>将原玉洲间隔改为文昌气电间隔</w:t>
            </w:r>
            <w:r>
              <w:rPr>
                <w:rFonts w:hint="eastAsia" w:ascii="Times New Roman" w:hAnsi="Times New Roman"/>
                <w:color w:val="auto"/>
                <w:lang w:eastAsia="zh-CN"/>
              </w:rPr>
              <w:t>。</w:t>
            </w:r>
          </w:p>
          <w:p>
            <w:pPr>
              <w:pStyle w:val="53"/>
              <w:spacing w:line="360" w:lineRule="auto"/>
              <w:ind w:firstLine="0"/>
              <w:rPr>
                <w:rFonts w:ascii="Times New Roman"/>
                <w:b/>
                <w:color w:val="auto"/>
                <w:sz w:val="21"/>
                <w:szCs w:val="21"/>
              </w:rPr>
            </w:pPr>
            <w:r>
              <w:rPr>
                <w:rFonts w:ascii="Times New Roman"/>
                <w:b/>
                <w:color w:val="auto"/>
                <w:sz w:val="21"/>
                <w:szCs w:val="21"/>
              </w:rPr>
              <w:t>1.3.2路径方案</w:t>
            </w:r>
          </w:p>
          <w:p>
            <w:pPr>
              <w:spacing w:line="360" w:lineRule="auto"/>
              <w:ind w:firstLine="420" w:firstLineChars="200"/>
              <w:rPr>
                <w:rFonts w:hint="eastAsia" w:ascii="Times New Roman" w:hAnsi="Times New Roman"/>
                <w:color w:val="auto"/>
                <w:lang w:eastAsia="zh-CN"/>
              </w:rPr>
            </w:pPr>
            <w:r>
              <w:rPr>
                <w:rFonts w:hint="eastAsia" w:ascii="Times New Roman" w:hAnsi="Times New Roman"/>
                <w:color w:val="auto"/>
                <w:lang w:eastAsia="zh-CN"/>
              </w:rPr>
              <w:t>线路自文昌气电电缆终端塔起新建架空双回线路（</w:t>
            </w:r>
            <w:r>
              <w:rPr>
                <w:rFonts w:hint="eastAsia" w:ascii="Times New Roman" w:hAnsi="Calibri" w:eastAsia="宋体" w:cs="Times New Roman"/>
                <w:color w:val="auto"/>
                <w:szCs w:val="21"/>
              </w:rPr>
              <w:t>文昌气电至电缆终端塔段电缆属于电厂建设范围</w:t>
            </w:r>
            <w:r>
              <w:rPr>
                <w:rFonts w:hint="eastAsia" w:ascii="Times New Roman" w:hAnsi="Times New Roman"/>
                <w:color w:val="auto"/>
                <w:lang w:eastAsia="zh-CN"/>
              </w:rPr>
              <w:t>）向西南大致平行同期建设的清澜电厂</w:t>
            </w:r>
            <w:r>
              <w:rPr>
                <w:rFonts w:hint="eastAsia" w:ascii="Times New Roman" w:hAnsi="Times New Roman"/>
                <w:color w:val="auto"/>
                <w:lang w:val="en-US" w:eastAsia="zh-CN"/>
              </w:rPr>
              <w:t>~</w:t>
            </w:r>
            <w:r>
              <w:rPr>
                <w:rFonts w:hint="eastAsia" w:ascii="Times New Roman" w:hAnsi="Times New Roman"/>
                <w:color w:val="auto"/>
                <w:lang w:eastAsia="zh-CN"/>
              </w:rPr>
              <w:t>东路线路，在雨坛村东北侧右转向西北，先后跨越110kV东昌线、东抱I线、东抱II线、东坡I、II线和海文高速，到达葫芦村北。线路从海南航天育种研发中心和龙泉乡园酒家之间行线。之后线路折向西北跨越220kV东牵I、II线同塔双回路，在栽群村跨越东环高铁后大致平行东环高铁继续向西北走线，从张官村北侧平行110kV玉路线北侧向西北走线，然后为避让三江、红旗和大致坡三镇交界区域的规划建设用地，线路连续跨越110kV玉路线、东旗线和220kV龙东线后改在多条电力线路的南侧平行走线，跨越依必朗高尔夫球场后到达吴仲田水库南侧，之后左转向西走线，经扶仁和桃林村，再次跨越110kV东旗线和云旗线后，行至本立村西北侧，左转向西南方向走线，于叼创村西再次左转向南，避让长太村行线至永萌村东北侧，线路右转向西在美顶村附近进入旧州镇。之后线路为避让规划的德威公学规划用地，从儒云村北右转向北跨越三十六曲溪，经南国威尼斯城南侧、坡伦村南侧之后在美宝村附近向西跨越南渡江。然后线路跨越35kV新龙线后右转向北，经龙塘镇西侧，避让密集村庄及龙塘镇规划用地到达龙光村，之后左转向西跨越220kV龙江、龙东线同塔双回线路，再右转向北走线，跨越海口绕城高速，并与220kV龙江线交换走廊后再向北跨越海南东环高铁和110kV玉云线，之后接至原220kV玉江线#3附近的π接点。</w:t>
            </w:r>
          </w:p>
          <w:p>
            <w:pPr>
              <w:spacing w:line="360" w:lineRule="auto"/>
              <w:ind w:firstLine="420" w:firstLineChars="200"/>
              <w:rPr>
                <w:rFonts w:ascii="Times New Roman" w:hAnsi="Times New Roman"/>
                <w:color w:val="auto"/>
              </w:rPr>
            </w:pPr>
            <w:r>
              <w:rPr>
                <w:rFonts w:hint="eastAsia" w:ascii="Times New Roman" w:hAnsi="Times New Roman"/>
                <w:color w:val="auto"/>
                <w:sz w:val="21"/>
                <w:szCs w:val="21"/>
                <w:lang w:eastAsia="zh-CN"/>
              </w:rPr>
              <w:t>新建线路</w:t>
            </w:r>
            <w:r>
              <w:rPr>
                <w:rFonts w:hint="eastAsia" w:ascii="Times New Roman" w:hAnsi="Times New Roman"/>
                <w:color w:val="auto"/>
                <w:sz w:val="21"/>
                <w:szCs w:val="21"/>
              </w:rPr>
              <w:t>长约2×55km，导线采用2×JL/LB1A-</w:t>
            </w:r>
            <w:r>
              <w:rPr>
                <w:rFonts w:hint="eastAsia" w:ascii="Times New Roman" w:hAnsi="Times New Roman"/>
                <w:color w:val="auto"/>
                <w:sz w:val="21"/>
                <w:szCs w:val="21"/>
                <w:lang w:val="en-US" w:eastAsia="zh-CN"/>
              </w:rPr>
              <w:t>40</w:t>
            </w:r>
            <w:r>
              <w:rPr>
                <w:rFonts w:hint="eastAsia" w:ascii="Times New Roman" w:hAnsi="Times New Roman"/>
                <w:color w:val="auto"/>
                <w:sz w:val="21"/>
                <w:szCs w:val="21"/>
              </w:rPr>
              <w:t>0/</w:t>
            </w:r>
            <w:r>
              <w:rPr>
                <w:rFonts w:hint="eastAsia" w:ascii="Times New Roman" w:hAnsi="Times New Roman"/>
                <w:color w:val="auto"/>
                <w:sz w:val="21"/>
                <w:szCs w:val="21"/>
                <w:lang w:val="en-US" w:eastAsia="zh-CN"/>
              </w:rPr>
              <w:t>3</w:t>
            </w:r>
            <w:r>
              <w:rPr>
                <w:rFonts w:hint="eastAsia" w:ascii="Times New Roman" w:hAnsi="Times New Roman"/>
                <w:color w:val="auto"/>
                <w:sz w:val="21"/>
                <w:szCs w:val="21"/>
              </w:rPr>
              <w:t>5铝包钢芯铝绞线，新建铁塔1</w:t>
            </w:r>
            <w:r>
              <w:rPr>
                <w:rFonts w:hint="eastAsia" w:ascii="Times New Roman" w:hAnsi="Times New Roman"/>
                <w:color w:val="auto"/>
                <w:sz w:val="21"/>
                <w:szCs w:val="21"/>
                <w:lang w:val="en-US" w:eastAsia="zh-CN"/>
              </w:rPr>
              <w:t>65</w:t>
            </w:r>
            <w:r>
              <w:rPr>
                <w:rFonts w:hint="eastAsia" w:ascii="Times New Roman" w:hAnsi="Times New Roman"/>
                <w:color w:val="auto"/>
                <w:sz w:val="21"/>
                <w:szCs w:val="21"/>
              </w:rPr>
              <w:t>基。</w:t>
            </w:r>
            <w:r>
              <w:rPr>
                <w:rFonts w:hint="eastAsia" w:ascii="Times New Roman" w:hAnsi="Times New Roman"/>
                <w:color w:val="auto"/>
                <w:lang w:eastAsia="zh-CN"/>
              </w:rPr>
              <w:t>线路途经文昌市东路镇，海口市美兰区的大致坡镇，琼山区的红旗镇、旧州镇、云龙镇和龙塘镇，龙华区的龙桥镇和海口市主城区。</w:t>
            </w:r>
          </w:p>
          <w:p>
            <w:pPr>
              <w:spacing w:line="360" w:lineRule="auto"/>
              <w:ind w:firstLine="420" w:firstLineChars="200"/>
              <w:rPr>
                <w:rFonts w:hint="eastAsia" w:ascii="Times New Roman" w:hAnsi="Times New Roman"/>
                <w:color w:val="auto"/>
                <w:lang w:eastAsia="zh-CN"/>
              </w:rPr>
            </w:pPr>
            <w:r>
              <w:rPr>
                <w:rFonts w:hint="eastAsia" w:ascii="Times New Roman" w:hAnsi="Times New Roman"/>
                <w:color w:val="auto"/>
              </w:rPr>
              <w:t>另外，</w:t>
            </w:r>
            <w:r>
              <w:rPr>
                <w:rFonts w:hint="default" w:ascii="Times New Roman" w:hAnsi="Times New Roman" w:cs="Times New Roman"/>
                <w:color w:val="auto"/>
                <w:sz w:val="21"/>
                <w:szCs w:val="21"/>
              </w:rPr>
              <w:t>本工程线路建设方案</w:t>
            </w:r>
            <w:r>
              <w:rPr>
                <w:rFonts w:hint="eastAsia" w:ascii="Times New Roman" w:hAnsi="Times New Roman" w:cs="Times New Roman"/>
                <w:color w:val="auto"/>
                <w:sz w:val="21"/>
                <w:szCs w:val="21"/>
                <w:lang w:eastAsia="zh-CN"/>
              </w:rPr>
              <w:t>需要</w:t>
            </w:r>
            <w:r>
              <w:rPr>
                <w:rFonts w:hint="default" w:ascii="Times New Roman" w:hAnsi="Times New Roman" w:cs="Times New Roman"/>
                <w:color w:val="auto"/>
                <w:sz w:val="21"/>
                <w:szCs w:val="21"/>
              </w:rPr>
              <w:t>在</w:t>
            </w:r>
            <w:r>
              <w:rPr>
                <w:rFonts w:hint="eastAsia" w:ascii="Times New Roman" w:hAnsi="Times New Roman" w:cs="Times New Roman"/>
                <w:color w:val="auto"/>
                <w:sz w:val="21"/>
                <w:szCs w:val="21"/>
                <w:lang w:val="en-US" w:eastAsia="zh-CN"/>
              </w:rPr>
              <w:t>220kV</w:t>
            </w:r>
            <w:r>
              <w:rPr>
                <w:rFonts w:hint="default" w:ascii="Times New Roman" w:hAnsi="Times New Roman" w:cs="Times New Roman"/>
                <w:color w:val="auto"/>
                <w:sz w:val="21"/>
                <w:szCs w:val="21"/>
              </w:rPr>
              <w:t>玉洲站附近与220kV龙江线交换线行，</w:t>
            </w:r>
            <w:r>
              <w:rPr>
                <w:rFonts w:hint="eastAsia" w:ascii="Times New Roman" w:hAnsi="Times New Roman" w:cs="Times New Roman"/>
                <w:color w:val="auto"/>
                <w:sz w:val="21"/>
                <w:szCs w:val="21"/>
                <w:lang w:eastAsia="zh-CN"/>
              </w:rPr>
              <w:t>并</w:t>
            </w:r>
            <w:r>
              <w:rPr>
                <w:rFonts w:hint="default" w:ascii="Times New Roman" w:hAnsi="Times New Roman" w:cs="Times New Roman"/>
                <w:color w:val="auto"/>
                <w:sz w:val="21"/>
                <w:szCs w:val="21"/>
              </w:rPr>
              <w:t>与220kV龙江线合并成同塔双回路，接至</w:t>
            </w:r>
            <w:r>
              <w:rPr>
                <w:rFonts w:hint="eastAsia" w:ascii="Times New Roman" w:hAnsi="Times New Roman" w:cs="Times New Roman"/>
                <w:color w:val="auto"/>
                <w:sz w:val="21"/>
                <w:szCs w:val="21"/>
                <w:lang w:eastAsia="zh-CN"/>
              </w:rPr>
              <w:t>现</w:t>
            </w:r>
            <w:r>
              <w:rPr>
                <w:rFonts w:hint="default" w:ascii="Times New Roman" w:hAnsi="Times New Roman" w:cs="Times New Roman"/>
                <w:color w:val="auto"/>
                <w:sz w:val="21"/>
                <w:szCs w:val="21"/>
              </w:rPr>
              <w:t>220kV玉江线#3塔旁的改接点。</w:t>
            </w:r>
            <w:r>
              <w:rPr>
                <w:rFonts w:hint="eastAsia" w:ascii="Times New Roman" w:hAnsi="Times New Roman"/>
                <w:color w:val="auto"/>
                <w:lang w:eastAsia="zh-CN"/>
              </w:rPr>
              <w:t>改接施工期间需同时停电约7天，为避免本工程改接时导致这两回线路长时间同时停电、增加系统运行的风险，需要建设220kV玉洲至江东单回临时保电线路，长度约1.1.km。</w:t>
            </w:r>
          </w:p>
          <w:p>
            <w:pPr>
              <w:spacing w:line="360" w:lineRule="auto"/>
              <w:ind w:firstLine="420" w:firstLineChars="200"/>
              <w:rPr>
                <w:rFonts w:hint="eastAsia" w:ascii="Times New Roman" w:hAnsi="Times New Roman" w:eastAsia="宋体"/>
                <w:color w:val="auto"/>
                <w:lang w:eastAsia="zh-CN"/>
              </w:rPr>
            </w:pPr>
            <w:r>
              <w:rPr>
                <w:rFonts w:hint="default" w:ascii="Times New Roman" w:hAnsi="Times New Roman" w:cs="Times New Roman"/>
                <w:color w:val="auto"/>
                <w:sz w:val="21"/>
                <w:szCs w:val="21"/>
              </w:rPr>
              <w:t>临时保电线路大致平行</w:t>
            </w:r>
            <w:r>
              <w:rPr>
                <w:rFonts w:hint="eastAsia" w:ascii="Times New Roman" w:hAnsi="Times New Roman" w:cs="Times New Roman"/>
                <w:color w:val="auto"/>
                <w:sz w:val="21"/>
                <w:szCs w:val="21"/>
                <w:lang w:val="en-US" w:eastAsia="zh-CN"/>
              </w:rPr>
              <w:t>220kV</w:t>
            </w:r>
            <w:r>
              <w:rPr>
                <w:rFonts w:hint="default" w:ascii="Times New Roman" w:hAnsi="Times New Roman" w:cs="Times New Roman"/>
                <w:color w:val="auto"/>
                <w:sz w:val="21"/>
                <w:szCs w:val="21"/>
              </w:rPr>
              <w:t>玉江线#1</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#5段建设</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然后从玉江线#1塔小号侧和#5塔大号侧利用T型线夹将原玉江线导地线T接至新建的保电线路，并拆除玉江线#1、#5的跳线，形成玉洲至江东单回临时保电线路。待本工程新建线路改接完成后，需拆除临时线路#1</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#4塔导地线、绝缘子及杆塔，并</w:t>
            </w:r>
            <w:r>
              <w:rPr>
                <w:rFonts w:hint="eastAsia" w:ascii="Times New Roman" w:hAnsi="Times New Roman" w:cs="Times New Roman"/>
                <w:color w:val="auto"/>
                <w:sz w:val="21"/>
                <w:szCs w:val="21"/>
                <w:lang w:eastAsia="zh-CN"/>
              </w:rPr>
              <w:t>恢复</w:t>
            </w:r>
            <w:r>
              <w:rPr>
                <w:rFonts w:hint="default" w:ascii="Times New Roman" w:hAnsi="Times New Roman" w:cs="Times New Roman"/>
                <w:color w:val="auto"/>
                <w:sz w:val="21"/>
                <w:szCs w:val="21"/>
              </w:rPr>
              <w:t>原有玉江线#1、#5的跳线连接</w:t>
            </w:r>
            <w:r>
              <w:rPr>
                <w:rFonts w:hint="eastAsia" w:ascii="Times New Roman" w:hAnsi="Times New Roman" w:cs="Times New Roman"/>
                <w:color w:val="auto"/>
                <w:sz w:val="21"/>
                <w:szCs w:val="21"/>
                <w:lang w:eastAsia="zh-CN"/>
              </w:rPr>
              <w:t>。</w:t>
            </w:r>
          </w:p>
          <w:p>
            <w:pPr>
              <w:pStyle w:val="53"/>
              <w:spacing w:line="360" w:lineRule="auto"/>
              <w:ind w:firstLine="0"/>
              <w:rPr>
                <w:rFonts w:ascii="Times New Roman"/>
                <w:b/>
                <w:color w:val="auto"/>
                <w:sz w:val="21"/>
                <w:szCs w:val="21"/>
              </w:rPr>
            </w:pPr>
            <w:r>
              <w:rPr>
                <w:rFonts w:ascii="Times New Roman"/>
                <w:b/>
                <w:color w:val="auto"/>
                <w:sz w:val="21"/>
                <w:szCs w:val="21"/>
              </w:rPr>
              <w:t>1.3.3导线、杆塔型号</w:t>
            </w:r>
          </w:p>
          <w:p>
            <w:pPr>
              <w:pStyle w:val="2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Times New Roman"/>
                <w:color w:val="auto"/>
                <w:sz w:val="21"/>
                <w:szCs w:val="21"/>
              </w:rPr>
            </w:pPr>
            <w:r>
              <w:rPr>
                <w:rFonts w:ascii="Times New Roman"/>
                <w:color w:val="auto"/>
                <w:sz w:val="21"/>
                <w:szCs w:val="21"/>
              </w:rPr>
              <w:t>导线型号：2×JL/LB1A-</w:t>
            </w:r>
            <w:r>
              <w:rPr>
                <w:rFonts w:hint="eastAsia" w:ascii="Times New Roman"/>
                <w:color w:val="auto"/>
                <w:sz w:val="21"/>
                <w:szCs w:val="21"/>
                <w:lang w:val="en-US" w:eastAsia="zh-CN"/>
              </w:rPr>
              <w:t>40</w:t>
            </w:r>
            <w:r>
              <w:rPr>
                <w:rFonts w:hint="eastAsia" w:ascii="Times New Roman"/>
                <w:color w:val="auto"/>
                <w:sz w:val="21"/>
                <w:szCs w:val="21"/>
              </w:rPr>
              <w:t>0</w:t>
            </w:r>
            <w:r>
              <w:rPr>
                <w:rFonts w:ascii="Times New Roman"/>
                <w:color w:val="auto"/>
                <w:sz w:val="21"/>
                <w:szCs w:val="21"/>
              </w:rPr>
              <w:t>/</w:t>
            </w:r>
            <w:r>
              <w:rPr>
                <w:rFonts w:hint="eastAsia" w:ascii="Times New Roman"/>
                <w:color w:val="auto"/>
                <w:sz w:val="21"/>
                <w:szCs w:val="21"/>
                <w:lang w:val="en-US" w:eastAsia="zh-CN"/>
              </w:rPr>
              <w:t>3</w:t>
            </w:r>
            <w:r>
              <w:rPr>
                <w:rFonts w:ascii="Times New Roman"/>
                <w:color w:val="auto"/>
                <w:sz w:val="21"/>
                <w:szCs w:val="21"/>
              </w:rPr>
              <w:t>5铝包钢芯铝绞线。</w:t>
            </w:r>
          </w:p>
          <w:p>
            <w:pPr>
              <w:pStyle w:val="23"/>
              <w:keepNext w:val="0"/>
              <w:keepLines w:val="0"/>
              <w:pageBreakBefore w:val="0"/>
              <w:widowControl w:val="0"/>
              <w:kinsoku/>
              <w:wordWrap/>
              <w:overflowPunct/>
              <w:topLinePunct w:val="0"/>
              <w:autoSpaceDE/>
              <w:autoSpaceDN/>
              <w:bidi w:val="0"/>
              <w:adjustRightInd/>
              <w:snapToGrid/>
              <w:spacing w:line="360" w:lineRule="auto"/>
              <w:ind w:firstLine="396" w:firstLineChars="200"/>
              <w:textAlignment w:val="auto"/>
              <w:outlineLvl w:val="9"/>
              <w:rPr>
                <w:rFonts w:hint="eastAsia" w:ascii="Times New Roman"/>
                <w:color w:val="auto"/>
                <w:sz w:val="21"/>
                <w:szCs w:val="21"/>
              </w:rPr>
            </w:pPr>
            <w:r>
              <w:rPr>
                <w:rFonts w:ascii="Times New Roman"/>
                <w:color w:val="auto"/>
                <w:spacing w:val="-6"/>
                <w:sz w:val="21"/>
                <w:szCs w:val="21"/>
              </w:rPr>
              <w:t>杆塔型号：</w:t>
            </w:r>
            <w:r>
              <w:rPr>
                <w:rFonts w:hint="eastAsia" w:ascii="Times New Roman"/>
                <w:color w:val="auto"/>
                <w:spacing w:val="-6"/>
                <w:sz w:val="21"/>
                <w:szCs w:val="21"/>
              </w:rPr>
              <w:t>2</w:t>
            </w:r>
            <w:r>
              <w:rPr>
                <w:rFonts w:hint="eastAsia" w:ascii="Times New Roman"/>
                <w:color w:val="auto"/>
                <w:spacing w:val="-6"/>
                <w:sz w:val="21"/>
                <w:szCs w:val="21"/>
                <w:lang w:val="en-US" w:eastAsia="zh-CN"/>
              </w:rPr>
              <w:t>D</w:t>
            </w:r>
            <w:r>
              <w:rPr>
                <w:rFonts w:hint="eastAsia" w:ascii="Times New Roman"/>
                <w:color w:val="auto"/>
                <w:spacing w:val="-6"/>
                <w:sz w:val="21"/>
                <w:szCs w:val="21"/>
              </w:rPr>
              <w:t>2Wa-J</w:t>
            </w:r>
            <w:r>
              <w:rPr>
                <w:rFonts w:hint="eastAsia" w:ascii="Times New Roman"/>
                <w:color w:val="auto"/>
                <w:spacing w:val="-6"/>
                <w:sz w:val="21"/>
                <w:szCs w:val="21"/>
                <w:lang w:val="en-US" w:eastAsia="zh-CN"/>
              </w:rPr>
              <w:t>1</w:t>
            </w:r>
            <w:r>
              <w:rPr>
                <w:rFonts w:hint="eastAsia" w:ascii="Times New Roman"/>
                <w:color w:val="auto"/>
                <w:spacing w:val="-6"/>
                <w:sz w:val="21"/>
                <w:szCs w:val="21"/>
              </w:rPr>
              <w:t>、2</w:t>
            </w:r>
            <w:r>
              <w:rPr>
                <w:rFonts w:hint="eastAsia" w:ascii="Times New Roman"/>
                <w:color w:val="auto"/>
                <w:spacing w:val="-6"/>
                <w:sz w:val="21"/>
                <w:szCs w:val="21"/>
                <w:lang w:val="en-US" w:eastAsia="zh-CN"/>
              </w:rPr>
              <w:t>D</w:t>
            </w:r>
            <w:r>
              <w:rPr>
                <w:rFonts w:hint="eastAsia" w:ascii="Times New Roman"/>
                <w:color w:val="auto"/>
                <w:spacing w:val="-6"/>
                <w:sz w:val="21"/>
                <w:szCs w:val="21"/>
              </w:rPr>
              <w:t>2Wa-J2、2</w:t>
            </w:r>
            <w:r>
              <w:rPr>
                <w:rFonts w:hint="eastAsia" w:ascii="Times New Roman"/>
                <w:color w:val="auto"/>
                <w:spacing w:val="-6"/>
                <w:sz w:val="21"/>
                <w:szCs w:val="21"/>
                <w:lang w:val="en-US" w:eastAsia="zh-CN"/>
              </w:rPr>
              <w:t>D</w:t>
            </w:r>
            <w:r>
              <w:rPr>
                <w:rFonts w:hint="eastAsia" w:ascii="Times New Roman"/>
                <w:color w:val="auto"/>
                <w:spacing w:val="-6"/>
                <w:sz w:val="21"/>
                <w:szCs w:val="21"/>
              </w:rPr>
              <w:t>2Wa-J</w:t>
            </w:r>
            <w:r>
              <w:rPr>
                <w:rFonts w:hint="eastAsia" w:ascii="Times New Roman"/>
                <w:color w:val="auto"/>
                <w:spacing w:val="-6"/>
                <w:sz w:val="21"/>
                <w:szCs w:val="21"/>
                <w:lang w:val="en-US" w:eastAsia="zh-CN"/>
              </w:rPr>
              <w:t>3</w:t>
            </w:r>
            <w:r>
              <w:rPr>
                <w:rFonts w:hint="eastAsia" w:ascii="Times New Roman"/>
                <w:color w:val="auto"/>
                <w:spacing w:val="-6"/>
                <w:sz w:val="21"/>
                <w:szCs w:val="21"/>
              </w:rPr>
              <w:t>、2</w:t>
            </w:r>
            <w:r>
              <w:rPr>
                <w:rFonts w:hint="eastAsia" w:ascii="Times New Roman"/>
                <w:color w:val="auto"/>
                <w:spacing w:val="-6"/>
                <w:sz w:val="21"/>
                <w:szCs w:val="21"/>
                <w:lang w:val="en-US" w:eastAsia="zh-CN"/>
              </w:rPr>
              <w:t>D</w:t>
            </w:r>
            <w:r>
              <w:rPr>
                <w:rFonts w:hint="eastAsia" w:ascii="Times New Roman"/>
                <w:color w:val="auto"/>
                <w:spacing w:val="-6"/>
                <w:sz w:val="21"/>
                <w:szCs w:val="21"/>
              </w:rPr>
              <w:t>2Wa-J</w:t>
            </w:r>
            <w:r>
              <w:rPr>
                <w:rFonts w:hint="eastAsia" w:ascii="Times New Roman"/>
                <w:color w:val="auto"/>
                <w:spacing w:val="-6"/>
                <w:sz w:val="21"/>
                <w:szCs w:val="21"/>
                <w:lang w:val="en-US" w:eastAsia="zh-CN"/>
              </w:rPr>
              <w:t>4</w:t>
            </w:r>
            <w:r>
              <w:rPr>
                <w:rFonts w:hint="eastAsia" w:ascii="Times New Roman"/>
                <w:color w:val="auto"/>
                <w:spacing w:val="-6"/>
                <w:sz w:val="21"/>
                <w:szCs w:val="21"/>
              </w:rPr>
              <w:t>、2</w:t>
            </w:r>
            <w:r>
              <w:rPr>
                <w:rFonts w:hint="eastAsia" w:ascii="Times New Roman"/>
                <w:color w:val="auto"/>
                <w:spacing w:val="-6"/>
                <w:sz w:val="21"/>
                <w:szCs w:val="21"/>
                <w:lang w:val="en-US" w:eastAsia="zh-CN"/>
              </w:rPr>
              <w:t>D</w:t>
            </w:r>
            <w:r>
              <w:rPr>
                <w:rFonts w:hint="eastAsia" w:ascii="Times New Roman"/>
                <w:color w:val="auto"/>
                <w:spacing w:val="-6"/>
                <w:sz w:val="21"/>
                <w:szCs w:val="21"/>
              </w:rPr>
              <w:t>2Wa-J</w:t>
            </w:r>
            <w:r>
              <w:rPr>
                <w:rFonts w:hint="eastAsia" w:ascii="Times New Roman"/>
                <w:color w:val="auto"/>
                <w:spacing w:val="-6"/>
                <w:sz w:val="21"/>
                <w:szCs w:val="21"/>
                <w:lang w:val="en-US" w:eastAsia="zh-CN"/>
              </w:rPr>
              <w:t>D</w:t>
            </w:r>
            <w:r>
              <w:rPr>
                <w:rFonts w:hint="eastAsia" w:ascii="Times New Roman"/>
                <w:color w:val="auto"/>
                <w:spacing w:val="-6"/>
                <w:sz w:val="21"/>
                <w:szCs w:val="21"/>
              </w:rPr>
              <w:t>、2F</w:t>
            </w:r>
            <w:r>
              <w:rPr>
                <w:rFonts w:hint="eastAsia" w:ascii="Times New Roman"/>
                <w:color w:val="auto"/>
                <w:spacing w:val="-6"/>
                <w:sz w:val="21"/>
                <w:szCs w:val="21"/>
                <w:lang w:val="en-US" w:eastAsia="zh-CN"/>
              </w:rPr>
              <w:t>1</w:t>
            </w:r>
            <w:r>
              <w:rPr>
                <w:rFonts w:hint="eastAsia" w:ascii="Times New Roman"/>
                <w:color w:val="auto"/>
                <w:spacing w:val="-6"/>
                <w:sz w:val="21"/>
                <w:szCs w:val="21"/>
              </w:rPr>
              <w:t>Wa</w:t>
            </w:r>
            <w:r>
              <w:rPr>
                <w:rFonts w:ascii="Times New Roman"/>
                <w:color w:val="auto"/>
                <w:spacing w:val="-6"/>
                <w:sz w:val="21"/>
                <w:szCs w:val="21"/>
              </w:rPr>
              <w:t>-</w:t>
            </w:r>
            <w:r>
              <w:rPr>
                <w:rFonts w:hint="eastAsia" w:ascii="Times New Roman"/>
                <w:color w:val="auto"/>
                <w:spacing w:val="-6"/>
                <w:sz w:val="21"/>
                <w:szCs w:val="21"/>
              </w:rPr>
              <w:t>J</w:t>
            </w:r>
            <w:r>
              <w:rPr>
                <w:rFonts w:hint="eastAsia" w:ascii="Times New Roman"/>
                <w:color w:val="auto"/>
                <w:spacing w:val="-6"/>
                <w:sz w:val="21"/>
                <w:szCs w:val="21"/>
                <w:lang w:val="en-US" w:eastAsia="zh-CN"/>
              </w:rPr>
              <w:t>4</w:t>
            </w:r>
            <w:r>
              <w:rPr>
                <w:rFonts w:hint="eastAsia" w:ascii="Times New Roman"/>
                <w:color w:val="auto"/>
                <w:spacing w:val="-6"/>
                <w:sz w:val="21"/>
                <w:szCs w:val="21"/>
              </w:rPr>
              <w:t>、2</w:t>
            </w:r>
            <w:r>
              <w:rPr>
                <w:rFonts w:hint="eastAsia" w:ascii="Times New Roman"/>
                <w:color w:val="auto"/>
                <w:spacing w:val="-6"/>
                <w:sz w:val="21"/>
                <w:szCs w:val="21"/>
                <w:lang w:val="en-US" w:eastAsia="zh-CN"/>
              </w:rPr>
              <w:t>D</w:t>
            </w:r>
            <w:r>
              <w:rPr>
                <w:rFonts w:hint="eastAsia" w:ascii="Times New Roman"/>
                <w:color w:val="auto"/>
                <w:spacing w:val="-6"/>
                <w:sz w:val="21"/>
                <w:szCs w:val="21"/>
              </w:rPr>
              <w:t>2Wa</w:t>
            </w:r>
            <w:r>
              <w:rPr>
                <w:rFonts w:ascii="Times New Roman"/>
                <w:color w:val="auto"/>
                <w:spacing w:val="-6"/>
                <w:sz w:val="21"/>
                <w:szCs w:val="21"/>
              </w:rPr>
              <w:t>-</w:t>
            </w:r>
            <w:r>
              <w:rPr>
                <w:rFonts w:hint="eastAsia" w:ascii="Times New Roman"/>
                <w:color w:val="auto"/>
                <w:spacing w:val="-6"/>
                <w:sz w:val="21"/>
                <w:szCs w:val="21"/>
              </w:rPr>
              <w:t>Z1、2</w:t>
            </w:r>
            <w:r>
              <w:rPr>
                <w:rFonts w:hint="eastAsia" w:ascii="Times New Roman"/>
                <w:color w:val="auto"/>
                <w:spacing w:val="-6"/>
                <w:sz w:val="21"/>
                <w:szCs w:val="21"/>
                <w:lang w:val="en-US" w:eastAsia="zh-CN"/>
              </w:rPr>
              <w:t>D</w:t>
            </w:r>
            <w:r>
              <w:rPr>
                <w:rFonts w:hint="eastAsia" w:ascii="Times New Roman"/>
                <w:color w:val="auto"/>
                <w:spacing w:val="-6"/>
                <w:sz w:val="21"/>
                <w:szCs w:val="21"/>
              </w:rPr>
              <w:t>1Wa-Z2、2</w:t>
            </w:r>
            <w:r>
              <w:rPr>
                <w:rFonts w:hint="eastAsia" w:ascii="Times New Roman"/>
                <w:color w:val="auto"/>
                <w:spacing w:val="-6"/>
                <w:sz w:val="21"/>
                <w:szCs w:val="21"/>
                <w:lang w:val="en-US" w:eastAsia="zh-CN"/>
              </w:rPr>
              <w:t>D</w:t>
            </w:r>
            <w:r>
              <w:rPr>
                <w:rFonts w:hint="eastAsia" w:ascii="Times New Roman"/>
                <w:color w:val="auto"/>
                <w:spacing w:val="-6"/>
                <w:sz w:val="21"/>
                <w:szCs w:val="21"/>
              </w:rPr>
              <w:t>1Wa-Z</w:t>
            </w:r>
            <w:r>
              <w:rPr>
                <w:rFonts w:hint="eastAsia" w:ascii="Times New Roman"/>
                <w:color w:val="auto"/>
                <w:spacing w:val="-6"/>
                <w:sz w:val="21"/>
                <w:szCs w:val="21"/>
                <w:lang w:val="en-US" w:eastAsia="zh-CN"/>
              </w:rPr>
              <w:t>3</w:t>
            </w:r>
            <w:r>
              <w:rPr>
                <w:rFonts w:ascii="Times New Roman"/>
                <w:color w:val="auto"/>
                <w:spacing w:val="-6"/>
                <w:sz w:val="21"/>
                <w:szCs w:val="21"/>
              </w:rPr>
              <w:t>、</w:t>
            </w:r>
            <w:r>
              <w:rPr>
                <w:rFonts w:hint="eastAsia" w:ascii="Times New Roman"/>
                <w:color w:val="auto"/>
                <w:spacing w:val="-6"/>
                <w:sz w:val="21"/>
                <w:szCs w:val="21"/>
              </w:rPr>
              <w:t>2</w:t>
            </w:r>
            <w:r>
              <w:rPr>
                <w:rFonts w:hint="eastAsia" w:ascii="Times New Roman"/>
                <w:color w:val="auto"/>
                <w:spacing w:val="-6"/>
                <w:sz w:val="21"/>
                <w:szCs w:val="21"/>
                <w:lang w:val="en-US" w:eastAsia="zh-CN"/>
              </w:rPr>
              <w:t>D</w:t>
            </w:r>
            <w:r>
              <w:rPr>
                <w:rFonts w:hint="eastAsia" w:ascii="Times New Roman"/>
                <w:color w:val="auto"/>
                <w:spacing w:val="-6"/>
                <w:sz w:val="21"/>
                <w:szCs w:val="21"/>
              </w:rPr>
              <w:t>1Wa-Z4、2</w:t>
            </w:r>
            <w:r>
              <w:rPr>
                <w:rFonts w:hint="eastAsia" w:ascii="Times New Roman"/>
                <w:color w:val="auto"/>
                <w:spacing w:val="-6"/>
                <w:sz w:val="21"/>
                <w:szCs w:val="21"/>
                <w:lang w:val="en-US" w:eastAsia="zh-CN"/>
              </w:rPr>
              <w:t>D</w:t>
            </w:r>
            <w:r>
              <w:rPr>
                <w:rFonts w:hint="eastAsia" w:ascii="Times New Roman"/>
                <w:color w:val="auto"/>
                <w:spacing w:val="-6"/>
                <w:sz w:val="21"/>
                <w:szCs w:val="21"/>
              </w:rPr>
              <w:t>1Wa-Z</w:t>
            </w:r>
            <w:r>
              <w:rPr>
                <w:rFonts w:hint="eastAsia" w:ascii="Times New Roman"/>
                <w:color w:val="auto"/>
                <w:spacing w:val="-6"/>
                <w:sz w:val="21"/>
                <w:szCs w:val="21"/>
                <w:lang w:val="en-US" w:eastAsia="zh-CN"/>
              </w:rPr>
              <w:t>5、JCG262</w:t>
            </w:r>
            <w:r>
              <w:rPr>
                <w:rFonts w:hint="eastAsia" w:ascii="Times New Roman"/>
                <w:color w:val="auto"/>
                <w:spacing w:val="-6"/>
                <w:sz w:val="21"/>
                <w:szCs w:val="21"/>
              </w:rPr>
              <w:t>、</w:t>
            </w:r>
            <w:r>
              <w:rPr>
                <w:rFonts w:hint="eastAsia" w:ascii="Times New Roman"/>
                <w:color w:val="auto"/>
                <w:spacing w:val="-6"/>
                <w:sz w:val="21"/>
                <w:szCs w:val="21"/>
                <w:lang w:val="en-US" w:eastAsia="zh-CN"/>
              </w:rPr>
              <w:t>2L</w:t>
            </w:r>
            <w:r>
              <w:rPr>
                <w:rFonts w:hint="eastAsia" w:ascii="Times New Roman"/>
                <w:color w:val="auto"/>
                <w:spacing w:val="-6"/>
                <w:sz w:val="21"/>
                <w:szCs w:val="21"/>
              </w:rPr>
              <w:t>J26</w:t>
            </w:r>
            <w:r>
              <w:rPr>
                <w:rFonts w:hint="eastAsia" w:ascii="Times New Roman"/>
                <w:color w:val="auto"/>
                <w:spacing w:val="-6"/>
                <w:sz w:val="21"/>
                <w:szCs w:val="21"/>
                <w:lang w:val="en-US" w:eastAsia="zh-CN"/>
              </w:rPr>
              <w:t>1A</w:t>
            </w:r>
            <w:r>
              <w:rPr>
                <w:rFonts w:ascii="Times New Roman"/>
                <w:color w:val="auto"/>
                <w:spacing w:val="-6"/>
                <w:sz w:val="21"/>
                <w:szCs w:val="21"/>
              </w:rPr>
              <w:t>，共计1</w:t>
            </w:r>
            <w:r>
              <w:rPr>
                <w:rFonts w:hint="eastAsia" w:ascii="Times New Roman"/>
                <w:color w:val="auto"/>
                <w:spacing w:val="-6"/>
                <w:sz w:val="21"/>
                <w:szCs w:val="21"/>
              </w:rPr>
              <w:t>2</w:t>
            </w:r>
            <w:r>
              <w:rPr>
                <w:rFonts w:ascii="Times New Roman"/>
                <w:color w:val="auto"/>
                <w:spacing w:val="-6"/>
                <w:sz w:val="21"/>
                <w:szCs w:val="21"/>
              </w:rPr>
              <w:t>基。</w:t>
            </w:r>
          </w:p>
          <w:p>
            <w:pPr>
              <w:pStyle w:val="53"/>
              <w:ind w:firstLine="0"/>
              <w:rPr>
                <w:rFonts w:ascii="Times New Roman"/>
                <w:b/>
                <w:color w:val="auto"/>
                <w:sz w:val="21"/>
                <w:szCs w:val="21"/>
              </w:rPr>
            </w:pPr>
            <w:r>
              <w:rPr>
                <w:rFonts w:ascii="Times New Roman"/>
                <w:b/>
                <w:color w:val="auto"/>
                <w:sz w:val="21"/>
                <w:szCs w:val="21"/>
              </w:rPr>
              <w:t>1.3.</w:t>
            </w:r>
            <w:r>
              <w:rPr>
                <w:rFonts w:hint="eastAsia" w:ascii="Times New Roman"/>
                <w:b/>
                <w:color w:val="auto"/>
                <w:sz w:val="21"/>
                <w:szCs w:val="21"/>
              </w:rPr>
              <w:t>4</w:t>
            </w:r>
            <w:r>
              <w:rPr>
                <w:rFonts w:ascii="Times New Roman"/>
                <w:b/>
                <w:color w:val="auto"/>
                <w:sz w:val="21"/>
                <w:szCs w:val="21"/>
              </w:rPr>
              <w:t xml:space="preserve"> 线路路径合理性分析</w:t>
            </w:r>
          </w:p>
          <w:p>
            <w:pPr>
              <w:pStyle w:val="23"/>
              <w:keepNext w:val="0"/>
              <w:keepLines w:val="0"/>
              <w:pageBreakBefore w:val="0"/>
              <w:widowControl w:val="0"/>
              <w:kinsoku/>
              <w:wordWrap/>
              <w:overflowPunct/>
              <w:topLinePunct w:val="0"/>
              <w:autoSpaceDE/>
              <w:autoSpaceDN/>
              <w:bidi w:val="0"/>
              <w:adjustRightInd/>
              <w:snapToGrid/>
              <w:spacing w:line="360" w:lineRule="auto"/>
              <w:ind w:firstLine="396" w:firstLineChars="200"/>
              <w:textAlignment w:val="auto"/>
              <w:outlineLvl w:val="9"/>
              <w:rPr>
                <w:rFonts w:hint="eastAsia" w:ascii="Times New Roman"/>
                <w:color w:val="auto"/>
                <w:spacing w:val="-6"/>
                <w:sz w:val="21"/>
                <w:szCs w:val="21"/>
              </w:rPr>
            </w:pPr>
            <w:r>
              <w:rPr>
                <w:rFonts w:hint="eastAsia" w:ascii="Times New Roman"/>
                <w:color w:val="auto"/>
                <w:spacing w:val="-6"/>
                <w:sz w:val="21"/>
                <w:szCs w:val="21"/>
                <w:lang w:eastAsia="zh-CN"/>
              </w:rPr>
              <w:t>①</w:t>
            </w:r>
            <w:r>
              <w:rPr>
                <w:rFonts w:hint="eastAsia" w:ascii="Times New Roman"/>
                <w:color w:val="auto"/>
                <w:spacing w:val="-6"/>
                <w:sz w:val="21"/>
                <w:szCs w:val="21"/>
              </w:rPr>
              <w:t>路径选择原则</w:t>
            </w:r>
          </w:p>
          <w:p>
            <w:pPr>
              <w:spacing w:line="360" w:lineRule="auto"/>
              <w:ind w:firstLine="420" w:firstLineChars="200"/>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本工程路径方案的规划选择主要遵循以下原则：</w:t>
            </w:r>
          </w:p>
          <w:p>
            <w:pPr>
              <w:spacing w:line="360" w:lineRule="auto"/>
              <w:ind w:firstLine="420" w:firstLineChars="200"/>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1）根据电力系统规划要求，综合考虑施工、运行、交通条件和线路长度等因素，进行方案比较，使线路路径走向安全可靠，经济合理。</w:t>
            </w:r>
          </w:p>
          <w:p>
            <w:pPr>
              <w:spacing w:line="360" w:lineRule="auto"/>
              <w:ind w:firstLine="420" w:firstLineChars="200"/>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2）尽可能靠近现有高速公路、国道、省道、县道及乡村公路，改善线路交通条件。</w:t>
            </w:r>
          </w:p>
          <w:p>
            <w:pPr>
              <w:spacing w:line="360" w:lineRule="auto"/>
              <w:ind w:firstLine="420" w:firstLineChars="200"/>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3）尽量避开和缩短重污区段，以保证线路的安全运行。</w:t>
            </w:r>
          </w:p>
          <w:p>
            <w:pPr>
              <w:spacing w:line="360" w:lineRule="auto"/>
              <w:ind w:firstLine="420" w:firstLineChars="200"/>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4）尽可能避让自然保护区和森林区，减少树木砍伐，保护自然生态环境。</w:t>
            </w:r>
          </w:p>
          <w:p>
            <w:pPr>
              <w:spacing w:line="360" w:lineRule="auto"/>
              <w:ind w:firstLine="420" w:firstLineChars="200"/>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5）避让军事设施、公园风景区、大型厂矿企业及重要通信设施。</w:t>
            </w:r>
          </w:p>
          <w:p>
            <w:pPr>
              <w:spacing w:line="360" w:lineRule="auto"/>
              <w:ind w:firstLine="420" w:firstLineChars="200"/>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6）充分征求沿线政府的意见，综合协调本线路路径与沿线已建线路、规划线路及其它设施的矛盾，统筹考虑线路路径方案。</w:t>
            </w:r>
          </w:p>
          <w:p>
            <w:pPr>
              <w:spacing w:line="360" w:lineRule="auto"/>
              <w:ind w:firstLine="420" w:firstLineChars="200"/>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②路径方案比选情况</w:t>
            </w:r>
          </w:p>
          <w:p>
            <w:pPr>
              <w:spacing w:line="360" w:lineRule="auto"/>
              <w:ind w:firstLine="420" w:firstLineChars="200"/>
              <w:rPr>
                <w:rFonts w:hint="default"/>
                <w:color w:val="auto"/>
                <w:lang w:val="en-US" w:eastAsia="zh-CN"/>
              </w:rPr>
            </w:pPr>
            <w:r>
              <w:rPr>
                <w:rFonts w:hint="eastAsia" w:ascii="Times New Roman" w:hAnsi="Times New Roman" w:cs="Times New Roman"/>
                <w:color w:val="auto"/>
                <w:sz w:val="21"/>
                <w:szCs w:val="21"/>
                <w:lang w:eastAsia="zh-CN"/>
              </w:rPr>
              <w:t>本工程线路大致由东南向西北方</w:t>
            </w:r>
            <w:r>
              <w:rPr>
                <w:rFonts w:hint="eastAsia" w:ascii="Times New Roman"/>
                <w:color w:val="auto"/>
                <w:sz w:val="21"/>
                <w:szCs w:val="21"/>
              </w:rPr>
              <w:t>向走线</w:t>
            </w:r>
            <w:r>
              <w:rPr>
                <w:rFonts w:hint="eastAsia" w:ascii="Times New Roman"/>
                <w:color w:val="auto"/>
                <w:sz w:val="21"/>
                <w:szCs w:val="21"/>
                <w:lang w:eastAsia="zh-CN"/>
              </w:rPr>
              <w:t>，</w:t>
            </w:r>
            <w:r>
              <w:rPr>
                <w:rFonts w:hint="eastAsia" w:ascii="Times New Roman"/>
                <w:color w:val="auto"/>
                <w:sz w:val="21"/>
                <w:szCs w:val="21"/>
              </w:rPr>
              <w:t>路径方案</w:t>
            </w:r>
            <w:r>
              <w:rPr>
                <w:rFonts w:hint="eastAsia" w:ascii="Times New Roman"/>
                <w:color w:val="auto"/>
                <w:sz w:val="21"/>
                <w:szCs w:val="21"/>
                <w:lang w:eastAsia="zh-CN"/>
              </w:rPr>
              <w:t>可</w:t>
            </w:r>
            <w:r>
              <w:rPr>
                <w:rFonts w:hint="eastAsia" w:ascii="Times New Roman"/>
                <w:color w:val="auto"/>
                <w:sz w:val="21"/>
                <w:szCs w:val="21"/>
              </w:rPr>
              <w:t>分</w:t>
            </w:r>
            <w:r>
              <w:rPr>
                <w:rFonts w:hint="eastAsia" w:ascii="Times New Roman"/>
                <w:color w:val="auto"/>
                <w:sz w:val="21"/>
                <w:szCs w:val="21"/>
                <w:lang w:eastAsia="zh-CN"/>
              </w:rPr>
              <w:t>三</w:t>
            </w:r>
            <w:r>
              <w:rPr>
                <w:rFonts w:hint="eastAsia" w:ascii="Times New Roman"/>
                <w:color w:val="auto"/>
                <w:sz w:val="21"/>
                <w:szCs w:val="21"/>
              </w:rPr>
              <w:t>段</w:t>
            </w:r>
            <w:r>
              <w:rPr>
                <w:rFonts w:hint="eastAsia" w:ascii="Times New Roman"/>
                <w:color w:val="auto"/>
                <w:sz w:val="21"/>
                <w:szCs w:val="21"/>
                <w:lang w:eastAsia="zh-CN"/>
              </w:rPr>
              <w:t>，第一段为</w:t>
            </w:r>
            <w:r>
              <w:rPr>
                <w:rFonts w:hint="eastAsia" w:ascii="Times New Roman"/>
                <w:color w:val="auto"/>
                <w:sz w:val="21"/>
                <w:szCs w:val="21"/>
              </w:rPr>
              <w:t>文昌气电至大致坡镇栽群村段</w:t>
            </w:r>
            <w:r>
              <w:rPr>
                <w:rFonts w:hint="eastAsia" w:ascii="Times New Roman"/>
                <w:color w:val="auto"/>
                <w:sz w:val="21"/>
                <w:szCs w:val="21"/>
                <w:lang w:eastAsia="zh-CN"/>
              </w:rPr>
              <w:t>；第二段为</w:t>
            </w:r>
            <w:r>
              <w:rPr>
                <w:rFonts w:hint="eastAsia" w:ascii="Times New Roman"/>
                <w:color w:val="auto"/>
                <w:sz w:val="21"/>
                <w:szCs w:val="21"/>
              </w:rPr>
              <w:t>大致坡镇栽群村至龙塘镇龙光村段</w:t>
            </w:r>
            <w:r>
              <w:rPr>
                <w:rFonts w:hint="eastAsia" w:ascii="Times New Roman"/>
                <w:color w:val="auto"/>
                <w:sz w:val="21"/>
                <w:szCs w:val="21"/>
                <w:lang w:eastAsia="zh-CN"/>
              </w:rPr>
              <w:t>；第三段为</w:t>
            </w:r>
            <w:r>
              <w:rPr>
                <w:rFonts w:hint="eastAsia" w:ascii="Times New Roman"/>
                <w:color w:val="auto"/>
                <w:sz w:val="21"/>
                <w:szCs w:val="21"/>
              </w:rPr>
              <w:t>龙塘镇龙光村至π接点段</w:t>
            </w:r>
            <w:r>
              <w:rPr>
                <w:rFonts w:hint="eastAsia" w:ascii="Times New Roman"/>
                <w:color w:val="auto"/>
                <w:sz w:val="21"/>
                <w:szCs w:val="21"/>
                <w:lang w:eastAsia="zh-CN"/>
              </w:rPr>
              <w:t>。其中第一段和第三段路径</w:t>
            </w:r>
            <w:r>
              <w:rPr>
                <w:rFonts w:hint="eastAsia" w:ascii="Times New Roman"/>
                <w:color w:val="auto"/>
                <w:sz w:val="21"/>
                <w:szCs w:val="21"/>
              </w:rPr>
              <w:t>受因素制约，路径方案唯一。</w:t>
            </w:r>
            <w:r>
              <w:rPr>
                <w:rFonts w:hint="eastAsia" w:ascii="Times New Roman"/>
                <w:color w:val="auto"/>
                <w:sz w:val="21"/>
                <w:szCs w:val="21"/>
                <w:lang w:eastAsia="zh-CN"/>
              </w:rPr>
              <w:t>第二段路径有南方案、中方案、北方案三个方案可比选。具体情况见表</w:t>
            </w:r>
            <w:r>
              <w:rPr>
                <w:rFonts w:hint="eastAsia" w:ascii="Times New Roman"/>
                <w:color w:val="auto"/>
                <w:sz w:val="21"/>
                <w:szCs w:val="21"/>
                <w:lang w:val="en-US" w:eastAsia="zh-CN"/>
              </w:rPr>
              <w:t>1-7。</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Times New Roman" w:hAnsi="Times New Roman"/>
                <w:b/>
                <w:color w:val="auto"/>
                <w:sz w:val="24"/>
                <w:szCs w:val="24"/>
              </w:rPr>
            </w:pPr>
            <w:r>
              <w:rPr>
                <w:rFonts w:hint="default" w:ascii="Times New Roman" w:hAnsi="Times New Roman" w:cs="Times New Roman"/>
                <w:b/>
                <w:color w:val="auto"/>
                <w:szCs w:val="21"/>
              </w:rPr>
              <w:t>表1-</w:t>
            </w:r>
            <w:r>
              <w:rPr>
                <w:rFonts w:hint="default" w:ascii="Times New Roman" w:hAnsi="Times New Roman" w:cs="Times New Roman"/>
                <w:b/>
                <w:color w:val="auto"/>
                <w:szCs w:val="21"/>
                <w:lang w:val="en-US" w:eastAsia="zh-CN"/>
              </w:rPr>
              <w:t>7  线路路径</w:t>
            </w:r>
            <w:r>
              <w:rPr>
                <w:rFonts w:hint="eastAsia" w:ascii="Times New Roman" w:hAnsi="Times New Roman" w:cs="Times New Roman"/>
                <w:b/>
                <w:color w:val="auto"/>
                <w:szCs w:val="21"/>
                <w:lang w:val="en-US" w:eastAsia="zh-CN"/>
              </w:rPr>
              <w:t>方案比较表</w:t>
            </w:r>
          </w:p>
          <w:tbl>
            <w:tblPr>
              <w:tblStyle w:val="50"/>
              <w:tblW w:w="86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710"/>
              <w:gridCol w:w="1625"/>
              <w:gridCol w:w="1550"/>
              <w:gridCol w:w="1550"/>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9" w:type="dxa"/>
                  <w:vMerge w:val="restart"/>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ascii="Times New Roman" w:hAnsi="Times New Roman"/>
                      <w:color w:val="auto"/>
                      <w:kern w:val="0"/>
                      <w:sz w:val="21"/>
                      <w:szCs w:val="21"/>
                    </w:rPr>
                  </w:pPr>
                  <w:r>
                    <w:rPr>
                      <w:rFonts w:ascii="Times New Roman" w:hAnsi="Times New Roman"/>
                      <w:color w:val="auto"/>
                      <w:kern w:val="0"/>
                      <w:sz w:val="21"/>
                      <w:szCs w:val="21"/>
                    </w:rPr>
                    <w:t>项目</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eastAsia="zh-CN"/>
                    </w:rPr>
                    <w:t>第一段</w:t>
                  </w:r>
                </w:p>
              </w:tc>
              <w:tc>
                <w:tcPr>
                  <w:tcW w:w="4725" w:type="dxa"/>
                  <w:gridSpan w:val="3"/>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eastAsia="宋体"/>
                      <w:color w:val="auto"/>
                      <w:lang w:eastAsia="zh-CN"/>
                    </w:rPr>
                  </w:pPr>
                  <w:r>
                    <w:rPr>
                      <w:rFonts w:hint="eastAsia" w:ascii="Times New Roman" w:hAnsi="Times New Roman"/>
                      <w:color w:val="auto"/>
                      <w:kern w:val="0"/>
                      <w:sz w:val="21"/>
                      <w:szCs w:val="21"/>
                      <w:lang w:eastAsia="zh-CN"/>
                    </w:rPr>
                    <w:t>第二段</w:t>
                  </w:r>
                </w:p>
              </w:tc>
              <w:tc>
                <w:tcPr>
                  <w:tcW w:w="1544"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eastAsia="zh-CN"/>
                    </w:rPr>
                    <w:t>第三段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9" w:type="dxa"/>
                  <w:vMerge w:val="continue"/>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ascii="Times New Roman" w:hAnsi="Times New Roman"/>
                      <w:color w:val="auto"/>
                      <w:kern w:val="0"/>
                      <w:sz w:val="21"/>
                      <w:szCs w:val="21"/>
                    </w:rPr>
                  </w:pPr>
                </w:p>
              </w:tc>
              <w:tc>
                <w:tcPr>
                  <w:tcW w:w="1710" w:type="dxa"/>
                  <w:vMerge w:val="restart"/>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hAnsi="Times New Roman"/>
                      <w:color w:val="auto"/>
                      <w:kern w:val="0"/>
                      <w:sz w:val="21"/>
                      <w:szCs w:val="21"/>
                      <w:lang w:eastAsia="zh-CN"/>
                    </w:rPr>
                  </w:pPr>
                  <w:r>
                    <w:rPr>
                      <w:rFonts w:hint="eastAsia" w:ascii="Times New Roman"/>
                      <w:color w:val="auto"/>
                      <w:sz w:val="21"/>
                      <w:szCs w:val="21"/>
                    </w:rPr>
                    <w:t>文昌气电至大致坡镇栽群村段</w:t>
                  </w:r>
                </w:p>
              </w:tc>
              <w:tc>
                <w:tcPr>
                  <w:tcW w:w="4725" w:type="dxa"/>
                  <w:gridSpan w:val="3"/>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hAnsi="Times New Roman"/>
                      <w:color w:val="auto"/>
                      <w:kern w:val="0"/>
                      <w:sz w:val="21"/>
                      <w:szCs w:val="21"/>
                      <w:lang w:eastAsia="zh-CN"/>
                    </w:rPr>
                  </w:pPr>
                  <w:r>
                    <w:rPr>
                      <w:rFonts w:hint="eastAsia" w:ascii="Times New Roman"/>
                      <w:color w:val="auto"/>
                      <w:sz w:val="21"/>
                      <w:szCs w:val="21"/>
                    </w:rPr>
                    <w:t>大致坡镇栽群村至龙塘镇龙光村段</w:t>
                  </w:r>
                </w:p>
              </w:tc>
              <w:tc>
                <w:tcPr>
                  <w:tcW w:w="1544" w:type="dxa"/>
                  <w:vMerge w:val="restart"/>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hAnsi="Times New Roman"/>
                      <w:color w:val="auto"/>
                      <w:kern w:val="0"/>
                      <w:sz w:val="21"/>
                      <w:szCs w:val="21"/>
                      <w:lang w:eastAsia="zh-CN"/>
                    </w:rPr>
                  </w:pPr>
                  <w:r>
                    <w:rPr>
                      <w:rFonts w:hint="eastAsia" w:ascii="Times New Roman"/>
                      <w:color w:val="auto"/>
                      <w:sz w:val="21"/>
                      <w:szCs w:val="21"/>
                    </w:rPr>
                    <w:t>龙塘镇龙光村至π接点段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9" w:type="dxa"/>
                  <w:vMerge w:val="continue"/>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ascii="Times New Roman" w:hAnsi="Times New Roman"/>
                      <w:color w:val="auto"/>
                      <w:kern w:val="0"/>
                      <w:sz w:val="21"/>
                      <w:szCs w:val="21"/>
                    </w:rPr>
                  </w:pPr>
                </w:p>
              </w:tc>
              <w:tc>
                <w:tcPr>
                  <w:tcW w:w="1710" w:type="dxa"/>
                  <w:vMerge w:val="continue"/>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color w:val="auto"/>
                      <w:sz w:val="21"/>
                      <w:szCs w:val="21"/>
                    </w:rPr>
                  </w:pPr>
                </w:p>
              </w:tc>
              <w:tc>
                <w:tcPr>
                  <w:tcW w:w="1625"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default" w:ascii="Times New Roman" w:eastAsia="宋体"/>
                      <w:color w:val="auto"/>
                      <w:sz w:val="21"/>
                      <w:szCs w:val="21"/>
                      <w:lang w:val="en-US" w:eastAsia="zh-CN"/>
                    </w:rPr>
                  </w:pPr>
                  <w:r>
                    <w:rPr>
                      <w:rFonts w:hint="eastAsia" w:ascii="Times New Roman"/>
                      <w:color w:val="auto"/>
                      <w:sz w:val="21"/>
                      <w:szCs w:val="21"/>
                      <w:lang w:val="en-US" w:eastAsia="zh-CN"/>
                    </w:rPr>
                    <w:t>北方案</w:t>
                  </w:r>
                </w:p>
              </w:tc>
              <w:tc>
                <w:tcPr>
                  <w:tcW w:w="155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eastAsia="宋体"/>
                      <w:color w:val="auto"/>
                      <w:sz w:val="21"/>
                      <w:szCs w:val="21"/>
                      <w:lang w:eastAsia="zh-CN"/>
                    </w:rPr>
                  </w:pPr>
                  <w:r>
                    <w:rPr>
                      <w:rFonts w:hint="eastAsia" w:ascii="Times New Roman"/>
                      <w:color w:val="auto"/>
                      <w:sz w:val="21"/>
                      <w:szCs w:val="21"/>
                      <w:lang w:eastAsia="zh-CN"/>
                    </w:rPr>
                    <w:t>中方案</w:t>
                  </w:r>
                </w:p>
              </w:tc>
              <w:tc>
                <w:tcPr>
                  <w:tcW w:w="155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eastAsia="宋体"/>
                      <w:color w:val="auto"/>
                      <w:sz w:val="21"/>
                      <w:szCs w:val="21"/>
                      <w:lang w:eastAsia="zh-CN"/>
                    </w:rPr>
                  </w:pPr>
                  <w:r>
                    <w:rPr>
                      <w:rFonts w:hint="eastAsia" w:ascii="Times New Roman"/>
                      <w:color w:val="auto"/>
                      <w:sz w:val="21"/>
                      <w:szCs w:val="21"/>
                      <w:lang w:eastAsia="zh-CN"/>
                    </w:rPr>
                    <w:t>南方案</w:t>
                  </w:r>
                </w:p>
              </w:tc>
              <w:tc>
                <w:tcPr>
                  <w:tcW w:w="1544" w:type="dxa"/>
                  <w:vMerge w:val="continue"/>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9"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ascii="Times New Roman" w:hAnsi="Times New Roman"/>
                      <w:color w:val="auto"/>
                      <w:kern w:val="0"/>
                      <w:sz w:val="21"/>
                      <w:szCs w:val="21"/>
                    </w:rPr>
                  </w:pPr>
                  <w:r>
                    <w:rPr>
                      <w:rFonts w:ascii="Times New Roman" w:hAnsi="Times New Roman"/>
                      <w:color w:val="auto"/>
                      <w:sz w:val="21"/>
                      <w:szCs w:val="21"/>
                    </w:rPr>
                    <w:t>建设规模</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ascii="Times New Roman" w:hAnsi="Times New Roman"/>
                      <w:color w:val="auto"/>
                      <w:kern w:val="0"/>
                      <w:sz w:val="21"/>
                      <w:szCs w:val="21"/>
                    </w:rPr>
                  </w:pPr>
                  <w:r>
                    <w:rPr>
                      <w:rFonts w:ascii="Times New Roman" w:hAnsi="Times New Roman"/>
                      <w:color w:val="auto"/>
                      <w:sz w:val="21"/>
                      <w:szCs w:val="21"/>
                    </w:rPr>
                    <w:t>线路</w:t>
                  </w:r>
                  <w:r>
                    <w:rPr>
                      <w:rFonts w:hint="eastAsia" w:ascii="Times New Roman"/>
                      <w:color w:val="auto"/>
                      <w:sz w:val="21"/>
                      <w:szCs w:val="21"/>
                      <w:lang w:eastAsia="zh-CN"/>
                    </w:rPr>
                    <w:t>长约</w:t>
                  </w:r>
                  <w:r>
                    <w:rPr>
                      <w:rFonts w:hint="eastAsia" w:ascii="Times New Roman"/>
                      <w:color w:val="auto"/>
                      <w:sz w:val="21"/>
                      <w:szCs w:val="21"/>
                      <w:lang w:val="en-US" w:eastAsia="zh-CN"/>
                    </w:rPr>
                    <w:t>9km</w:t>
                  </w:r>
                </w:p>
              </w:tc>
              <w:tc>
                <w:tcPr>
                  <w:tcW w:w="1625"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color w:val="auto"/>
                    </w:rPr>
                  </w:pPr>
                  <w:r>
                    <w:rPr>
                      <w:rFonts w:ascii="Times New Roman" w:hAnsi="Times New Roman"/>
                      <w:color w:val="auto"/>
                      <w:sz w:val="21"/>
                      <w:szCs w:val="21"/>
                    </w:rPr>
                    <w:t>线路长</w:t>
                  </w:r>
                  <w:r>
                    <w:rPr>
                      <w:rFonts w:hint="eastAsia" w:ascii="Times New Roman" w:hAnsi="Times New Roman"/>
                      <w:color w:val="auto"/>
                      <w:sz w:val="21"/>
                      <w:szCs w:val="21"/>
                      <w:lang w:eastAsia="zh-CN"/>
                    </w:rPr>
                    <w:t>约</w:t>
                  </w:r>
                  <w:r>
                    <w:rPr>
                      <w:rFonts w:hint="eastAsia" w:ascii="Times New Roman"/>
                      <w:color w:val="auto"/>
                      <w:sz w:val="21"/>
                      <w:szCs w:val="21"/>
                      <w:lang w:val="en-US" w:eastAsia="zh-CN"/>
                    </w:rPr>
                    <w:t>32km</w:t>
                  </w:r>
                </w:p>
              </w:tc>
              <w:tc>
                <w:tcPr>
                  <w:tcW w:w="155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ascii="Times New Roman" w:hAnsi="Times New Roman"/>
                      <w:color w:val="auto"/>
                      <w:sz w:val="21"/>
                      <w:szCs w:val="21"/>
                    </w:rPr>
                  </w:pPr>
                  <w:r>
                    <w:rPr>
                      <w:rFonts w:ascii="Times New Roman" w:hAnsi="Times New Roman"/>
                      <w:color w:val="auto"/>
                      <w:sz w:val="21"/>
                      <w:szCs w:val="21"/>
                    </w:rPr>
                    <w:t>线路长</w:t>
                  </w:r>
                  <w:r>
                    <w:rPr>
                      <w:rFonts w:hint="eastAsia" w:ascii="Times New Roman" w:hAnsi="Times New Roman"/>
                      <w:color w:val="auto"/>
                      <w:sz w:val="21"/>
                      <w:szCs w:val="21"/>
                      <w:lang w:eastAsia="zh-CN"/>
                    </w:rPr>
                    <w:t>约</w:t>
                  </w:r>
                  <w:r>
                    <w:rPr>
                      <w:rFonts w:hint="eastAsia" w:ascii="Times New Roman"/>
                      <w:color w:val="auto"/>
                      <w:sz w:val="21"/>
                      <w:szCs w:val="21"/>
                      <w:lang w:val="en-US" w:eastAsia="zh-CN"/>
                    </w:rPr>
                    <w:t>37km</w:t>
                  </w:r>
                </w:p>
              </w:tc>
              <w:tc>
                <w:tcPr>
                  <w:tcW w:w="155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ascii="Times New Roman" w:hAnsi="Times New Roman"/>
                      <w:color w:val="auto"/>
                      <w:sz w:val="21"/>
                      <w:szCs w:val="21"/>
                    </w:rPr>
                  </w:pPr>
                  <w:r>
                    <w:rPr>
                      <w:rFonts w:ascii="Times New Roman" w:hAnsi="Times New Roman"/>
                      <w:color w:val="auto"/>
                      <w:sz w:val="21"/>
                      <w:szCs w:val="21"/>
                    </w:rPr>
                    <w:t>线路长</w:t>
                  </w:r>
                  <w:r>
                    <w:rPr>
                      <w:rFonts w:hint="eastAsia" w:ascii="Times New Roman" w:hAnsi="Times New Roman"/>
                      <w:color w:val="auto"/>
                      <w:sz w:val="21"/>
                      <w:szCs w:val="21"/>
                      <w:lang w:eastAsia="zh-CN"/>
                    </w:rPr>
                    <w:t>约</w:t>
                  </w:r>
                  <w:r>
                    <w:rPr>
                      <w:rFonts w:hint="eastAsia" w:ascii="Times New Roman"/>
                      <w:color w:val="auto"/>
                      <w:sz w:val="21"/>
                      <w:szCs w:val="21"/>
                      <w:lang w:val="en-US" w:eastAsia="zh-CN"/>
                    </w:rPr>
                    <w:t>33km</w:t>
                  </w:r>
                </w:p>
              </w:tc>
              <w:tc>
                <w:tcPr>
                  <w:tcW w:w="1544"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ascii="Times New Roman" w:hAnsi="Times New Roman"/>
                      <w:color w:val="auto"/>
                      <w:kern w:val="0"/>
                      <w:sz w:val="21"/>
                      <w:szCs w:val="21"/>
                    </w:rPr>
                  </w:pPr>
                  <w:r>
                    <w:rPr>
                      <w:rFonts w:ascii="Times New Roman" w:hAnsi="Times New Roman"/>
                      <w:color w:val="auto"/>
                      <w:sz w:val="21"/>
                      <w:szCs w:val="21"/>
                    </w:rPr>
                    <w:t>线路</w:t>
                  </w:r>
                  <w:r>
                    <w:rPr>
                      <w:rFonts w:hint="eastAsia" w:ascii="Times New Roman"/>
                      <w:color w:val="auto"/>
                      <w:sz w:val="21"/>
                      <w:szCs w:val="21"/>
                      <w:lang w:eastAsia="zh-CN"/>
                    </w:rPr>
                    <w:t>长约</w:t>
                  </w:r>
                  <w:r>
                    <w:rPr>
                      <w:rFonts w:hint="eastAsia" w:ascii="Times New Roman"/>
                      <w:color w:val="auto"/>
                      <w:sz w:val="21"/>
                      <w:szCs w:val="21"/>
                      <w:lang w:val="en-US" w:eastAsia="zh-CN"/>
                    </w:rPr>
                    <w:t>9km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9"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eastAsia="zh-CN"/>
                    </w:rPr>
                    <w:t>受限因素</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ascii="Times New Roman" w:hAnsi="Times New Roman"/>
                      <w:color w:val="auto"/>
                      <w:kern w:val="0"/>
                      <w:sz w:val="21"/>
                      <w:szCs w:val="21"/>
                    </w:rPr>
                  </w:pPr>
                  <w:r>
                    <w:rPr>
                      <w:rFonts w:hint="eastAsia" w:ascii="Times New Roman"/>
                      <w:color w:val="auto"/>
                      <w:sz w:val="21"/>
                      <w:szCs w:val="21"/>
                    </w:rPr>
                    <w:t>大致坡镇密集建筑区</w:t>
                  </w:r>
                  <w:r>
                    <w:rPr>
                      <w:rFonts w:hint="eastAsia" w:ascii="Times New Roman"/>
                      <w:color w:val="auto"/>
                      <w:sz w:val="21"/>
                      <w:szCs w:val="21"/>
                      <w:lang w:eastAsia="zh-CN"/>
                    </w:rPr>
                    <w:t>、</w:t>
                  </w:r>
                  <w:r>
                    <w:rPr>
                      <w:rFonts w:hint="eastAsia" w:ascii="Times New Roman"/>
                      <w:color w:val="auto"/>
                      <w:sz w:val="21"/>
                      <w:szCs w:val="21"/>
                    </w:rPr>
                    <w:t>I类生态</w:t>
                  </w:r>
                  <w:r>
                    <w:rPr>
                      <w:rFonts w:hint="eastAsia" w:ascii="Times New Roman"/>
                      <w:color w:val="auto"/>
                      <w:sz w:val="21"/>
                      <w:szCs w:val="21"/>
                      <w:lang w:eastAsia="zh-CN"/>
                    </w:rPr>
                    <w:t>保护</w:t>
                  </w:r>
                  <w:r>
                    <w:rPr>
                      <w:rFonts w:hint="eastAsia" w:ascii="Times New Roman"/>
                      <w:color w:val="auto"/>
                      <w:sz w:val="21"/>
                      <w:szCs w:val="21"/>
                    </w:rPr>
                    <w:t>红线</w:t>
                  </w:r>
                  <w:r>
                    <w:rPr>
                      <w:rFonts w:hint="eastAsia" w:ascii="Times New Roman"/>
                      <w:color w:val="auto"/>
                      <w:sz w:val="21"/>
                      <w:szCs w:val="21"/>
                      <w:lang w:eastAsia="zh-CN"/>
                    </w:rPr>
                    <w:t>区及</w:t>
                  </w:r>
                  <w:r>
                    <w:rPr>
                      <w:rFonts w:hint="eastAsia" w:ascii="Times New Roman"/>
                      <w:color w:val="auto"/>
                      <w:sz w:val="21"/>
                      <w:szCs w:val="21"/>
                    </w:rPr>
                    <w:t>I、II</w:t>
                  </w:r>
                  <w:r>
                    <w:rPr>
                      <w:rFonts w:hint="eastAsia" w:ascii="Times New Roman"/>
                      <w:color w:val="auto"/>
                      <w:sz w:val="21"/>
                      <w:szCs w:val="21"/>
                      <w:lang w:eastAsia="zh-CN"/>
                    </w:rPr>
                    <w:t>级</w:t>
                  </w:r>
                  <w:r>
                    <w:rPr>
                      <w:rFonts w:hint="eastAsia" w:ascii="Times New Roman"/>
                      <w:color w:val="auto"/>
                      <w:sz w:val="21"/>
                      <w:szCs w:val="21"/>
                    </w:rPr>
                    <w:t>保护林地</w:t>
                  </w:r>
                </w:p>
              </w:tc>
              <w:tc>
                <w:tcPr>
                  <w:tcW w:w="1625"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color w:val="auto"/>
                    </w:rPr>
                  </w:pPr>
                  <w:r>
                    <w:rPr>
                      <w:rFonts w:hint="eastAsia" w:ascii="Times New Roman"/>
                      <w:color w:val="auto"/>
                      <w:sz w:val="21"/>
                      <w:szCs w:val="21"/>
                      <w:lang w:eastAsia="zh-CN"/>
                    </w:rPr>
                    <w:t>美兰机场、云龙国家高新产业园、云龙镇规划用地及该镇南侧的旅游度假规划用地；龙塘镇规划用地及密集村庄</w:t>
                  </w:r>
                </w:p>
              </w:tc>
              <w:tc>
                <w:tcPr>
                  <w:tcW w:w="155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ascii="Times New Roman" w:hAnsi="Times New Roman"/>
                      <w:color w:val="auto"/>
                      <w:kern w:val="0"/>
                      <w:sz w:val="21"/>
                      <w:szCs w:val="21"/>
                    </w:rPr>
                  </w:pPr>
                  <w:r>
                    <w:rPr>
                      <w:rFonts w:hint="eastAsia" w:ascii="Times New Roman"/>
                      <w:color w:val="auto"/>
                      <w:sz w:val="21"/>
                      <w:szCs w:val="21"/>
                      <w:lang w:eastAsia="zh-CN"/>
                    </w:rPr>
                    <w:t>线路基本沿已有高压线路和大致坡、红旗、云龙、龙塘各镇的交界地带行走</w:t>
                  </w:r>
                </w:p>
              </w:tc>
              <w:tc>
                <w:tcPr>
                  <w:tcW w:w="155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ascii="Times New Roman" w:hAnsi="Times New Roman"/>
                      <w:color w:val="auto"/>
                      <w:kern w:val="0"/>
                      <w:sz w:val="21"/>
                      <w:szCs w:val="21"/>
                    </w:rPr>
                  </w:pPr>
                  <w:r>
                    <w:rPr>
                      <w:rFonts w:hint="eastAsia" w:ascii="Times New Roman"/>
                      <w:color w:val="auto"/>
                      <w:sz w:val="21"/>
                      <w:szCs w:val="21"/>
                      <w:lang w:eastAsia="zh-CN"/>
                    </w:rPr>
                    <w:t>红旗镇镇域划分的六大组团用地规划及远期发展</w:t>
                  </w:r>
                </w:p>
              </w:tc>
              <w:tc>
                <w:tcPr>
                  <w:tcW w:w="1544"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ascii="Times New Roman" w:hAnsi="Times New Roman"/>
                      <w:color w:val="auto"/>
                      <w:kern w:val="0"/>
                      <w:sz w:val="21"/>
                      <w:szCs w:val="21"/>
                    </w:rPr>
                  </w:pPr>
                  <w:r>
                    <w:rPr>
                      <w:rFonts w:hint="eastAsia" w:ascii="Times New Roman"/>
                      <w:color w:val="auto"/>
                      <w:sz w:val="21"/>
                      <w:szCs w:val="21"/>
                    </w:rPr>
                    <w:t>龙塘镇密集村庄、</w:t>
                  </w:r>
                  <w:r>
                    <w:rPr>
                      <w:rFonts w:hint="eastAsia" w:ascii="Times New Roman"/>
                      <w:color w:val="auto"/>
                      <w:sz w:val="21"/>
                      <w:szCs w:val="21"/>
                      <w:lang w:eastAsia="zh-CN"/>
                    </w:rPr>
                    <w:t>美兰</w:t>
                  </w:r>
                  <w:r>
                    <w:rPr>
                      <w:rFonts w:hint="eastAsia" w:ascii="Times New Roman"/>
                      <w:color w:val="auto"/>
                      <w:sz w:val="21"/>
                      <w:szCs w:val="21"/>
                    </w:rPr>
                    <w:t>机场限高区、已有电力线路及</w:t>
                  </w:r>
                  <w:r>
                    <w:rPr>
                      <w:rFonts w:hint="eastAsia" w:ascii="Times New Roman"/>
                      <w:color w:val="auto"/>
                      <w:sz w:val="21"/>
                      <w:szCs w:val="21"/>
                      <w:lang w:eastAsia="zh-CN"/>
                    </w:rPr>
                    <w:t>建设</w:t>
                  </w:r>
                  <w:r>
                    <w:rPr>
                      <w:rFonts w:hint="eastAsia" w:ascii="Times New Roman"/>
                      <w:color w:val="auto"/>
                      <w:sz w:val="21"/>
                      <w:szCs w:val="21"/>
                    </w:rPr>
                    <w:t>用地等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9"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涉及生态环境敏感区及水环境敏感区</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color w:val="auto"/>
                      <w:sz w:val="21"/>
                      <w:szCs w:val="21"/>
                      <w:lang w:eastAsia="zh-CN"/>
                    </w:rPr>
                  </w:pPr>
                  <w:r>
                    <w:rPr>
                      <w:rFonts w:hint="eastAsia" w:ascii="Times New Roman"/>
                      <w:color w:val="auto"/>
                      <w:sz w:val="21"/>
                      <w:szCs w:val="21"/>
                      <w:lang w:eastAsia="zh-CN"/>
                    </w:rPr>
                    <w:t>无</w:t>
                  </w:r>
                </w:p>
              </w:tc>
              <w:tc>
                <w:tcPr>
                  <w:tcW w:w="1625"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color w:val="auto"/>
                      <w:sz w:val="21"/>
                      <w:szCs w:val="21"/>
                      <w:lang w:eastAsia="zh-CN"/>
                    </w:rPr>
                  </w:pPr>
                  <w:r>
                    <w:rPr>
                      <w:rFonts w:hint="eastAsia" w:ascii="Times New Roman"/>
                      <w:color w:val="auto"/>
                      <w:sz w:val="21"/>
                      <w:szCs w:val="21"/>
                      <w:lang w:eastAsia="zh-CN"/>
                    </w:rPr>
                    <w:t>无</w:t>
                  </w:r>
                </w:p>
              </w:tc>
              <w:tc>
                <w:tcPr>
                  <w:tcW w:w="155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color w:val="auto"/>
                      <w:sz w:val="21"/>
                      <w:szCs w:val="21"/>
                      <w:lang w:eastAsia="zh-CN"/>
                    </w:rPr>
                  </w:pPr>
                  <w:r>
                    <w:rPr>
                      <w:rFonts w:hint="eastAsia" w:ascii="Times New Roman"/>
                      <w:color w:val="auto"/>
                      <w:sz w:val="21"/>
                      <w:szCs w:val="21"/>
                      <w:lang w:val="en-US" w:eastAsia="zh-CN"/>
                    </w:rPr>
                    <w:t>2处</w:t>
                  </w:r>
                  <w:r>
                    <w:rPr>
                      <w:rFonts w:hint="eastAsia" w:ascii="Times New Roman"/>
                      <w:color w:val="auto"/>
                      <w:sz w:val="21"/>
                      <w:szCs w:val="21"/>
                      <w:lang w:eastAsia="zh-CN"/>
                    </w:rPr>
                    <w:t>海南省生态保护红线、</w:t>
                  </w:r>
                  <w:r>
                    <w:rPr>
                      <w:rFonts w:hint="eastAsia" w:ascii="Times New Roman"/>
                      <w:color w:val="auto"/>
                      <w:sz w:val="21"/>
                      <w:szCs w:val="21"/>
                      <w:lang w:val="en-US" w:eastAsia="zh-CN"/>
                    </w:rPr>
                    <w:t>2个</w:t>
                  </w:r>
                  <w:r>
                    <w:rPr>
                      <w:rFonts w:hint="eastAsia" w:ascii="Times New Roman"/>
                      <w:color w:val="auto"/>
                      <w:sz w:val="21"/>
                      <w:szCs w:val="21"/>
                      <w:lang w:eastAsia="zh-CN"/>
                    </w:rPr>
                    <w:t>湿地公园及羊山湿地多用途管理区、</w:t>
                  </w:r>
                  <w:r>
                    <w:rPr>
                      <w:rFonts w:hint="eastAsia" w:ascii="Times New Roman"/>
                      <w:color w:val="auto"/>
                      <w:sz w:val="21"/>
                      <w:szCs w:val="21"/>
                      <w:lang w:val="en-US" w:eastAsia="zh-CN"/>
                    </w:rPr>
                    <w:t>1处</w:t>
                  </w:r>
                  <w:r>
                    <w:rPr>
                      <w:rFonts w:hint="eastAsia" w:ascii="Times New Roman"/>
                      <w:color w:val="auto"/>
                      <w:sz w:val="21"/>
                      <w:szCs w:val="21"/>
                      <w:lang w:eastAsia="zh-CN"/>
                    </w:rPr>
                    <w:t>饮用水水源保护区</w:t>
                  </w:r>
                </w:p>
              </w:tc>
              <w:tc>
                <w:tcPr>
                  <w:tcW w:w="155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color w:val="auto"/>
                      <w:sz w:val="21"/>
                      <w:szCs w:val="21"/>
                      <w:lang w:eastAsia="zh-CN"/>
                    </w:rPr>
                  </w:pPr>
                  <w:r>
                    <w:rPr>
                      <w:rFonts w:hint="eastAsia" w:ascii="Times New Roman"/>
                      <w:color w:val="auto"/>
                      <w:sz w:val="21"/>
                      <w:szCs w:val="21"/>
                      <w:lang w:val="en-US" w:eastAsia="zh-CN"/>
                    </w:rPr>
                    <w:t>2处</w:t>
                  </w:r>
                  <w:r>
                    <w:rPr>
                      <w:rFonts w:hint="eastAsia" w:ascii="Times New Roman"/>
                      <w:color w:val="auto"/>
                      <w:sz w:val="21"/>
                      <w:szCs w:val="21"/>
                      <w:lang w:eastAsia="zh-CN"/>
                    </w:rPr>
                    <w:t>海南省生态保护红线、</w:t>
                  </w:r>
                  <w:r>
                    <w:rPr>
                      <w:rFonts w:hint="eastAsia" w:ascii="Times New Roman"/>
                      <w:color w:val="auto"/>
                      <w:sz w:val="21"/>
                      <w:szCs w:val="21"/>
                      <w:lang w:val="en-US" w:eastAsia="zh-CN"/>
                    </w:rPr>
                    <w:t>2个</w:t>
                  </w:r>
                  <w:r>
                    <w:rPr>
                      <w:rFonts w:hint="eastAsia" w:ascii="Times New Roman"/>
                      <w:color w:val="auto"/>
                      <w:sz w:val="21"/>
                      <w:szCs w:val="21"/>
                      <w:lang w:eastAsia="zh-CN"/>
                    </w:rPr>
                    <w:t>湿地公园及羊山湿地多用途管理区、</w:t>
                  </w:r>
                  <w:r>
                    <w:rPr>
                      <w:rFonts w:hint="eastAsia" w:ascii="Times New Roman"/>
                      <w:color w:val="auto"/>
                      <w:sz w:val="21"/>
                      <w:szCs w:val="21"/>
                      <w:lang w:val="en-US" w:eastAsia="zh-CN"/>
                    </w:rPr>
                    <w:t>1处</w:t>
                  </w:r>
                  <w:r>
                    <w:rPr>
                      <w:rFonts w:hint="eastAsia" w:ascii="Times New Roman"/>
                      <w:color w:val="auto"/>
                      <w:sz w:val="21"/>
                      <w:szCs w:val="21"/>
                      <w:lang w:eastAsia="zh-CN"/>
                    </w:rPr>
                    <w:t>饮用水水源保护区</w:t>
                  </w:r>
                </w:p>
              </w:tc>
              <w:tc>
                <w:tcPr>
                  <w:tcW w:w="1544"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eastAsia="宋体"/>
                      <w:color w:val="auto"/>
                      <w:sz w:val="21"/>
                      <w:szCs w:val="21"/>
                      <w:lang w:eastAsia="zh-CN"/>
                    </w:rPr>
                  </w:pPr>
                  <w:r>
                    <w:rPr>
                      <w:rFonts w:hint="eastAsia" w:ascii="Times New Roman"/>
                      <w:color w:val="auto"/>
                      <w:sz w:val="21"/>
                      <w:szCs w:val="21"/>
                      <w:lang w:val="en-US" w:eastAsia="zh-CN"/>
                    </w:rPr>
                    <w:t>2处</w:t>
                  </w:r>
                  <w:r>
                    <w:rPr>
                      <w:rFonts w:hint="eastAsia" w:ascii="Times New Roman"/>
                      <w:color w:val="auto"/>
                      <w:sz w:val="21"/>
                      <w:szCs w:val="21"/>
                      <w:lang w:eastAsia="zh-CN"/>
                    </w:rPr>
                    <w:t>海南省生态保护红线及羊山湿地多用途管理区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9"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outlineLvl w:val="9"/>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结论</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ascii="Times New Roman" w:hAnsi="Times New Roman"/>
                      <w:color w:val="auto"/>
                      <w:kern w:val="0"/>
                      <w:sz w:val="21"/>
                      <w:szCs w:val="21"/>
                    </w:rPr>
                  </w:pPr>
                  <w:r>
                    <w:rPr>
                      <w:rFonts w:hint="eastAsia" w:ascii="Times New Roman"/>
                      <w:color w:val="auto"/>
                      <w:sz w:val="21"/>
                      <w:szCs w:val="21"/>
                    </w:rPr>
                    <w:t>路径方案唯一</w:t>
                  </w:r>
                </w:p>
              </w:tc>
              <w:tc>
                <w:tcPr>
                  <w:tcW w:w="16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color w:val="auto"/>
                    </w:rPr>
                  </w:pPr>
                  <w:r>
                    <w:rPr>
                      <w:color w:val="auto"/>
                      <w:szCs w:val="21"/>
                    </w:rPr>
                    <w:t>不推荐</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color w:val="auto"/>
                      <w:szCs w:val="21"/>
                    </w:rPr>
                  </w:pPr>
                  <w:r>
                    <w:rPr>
                      <w:color w:val="auto"/>
                      <w:szCs w:val="21"/>
                    </w:rPr>
                    <w:t>推荐方案</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color w:val="auto"/>
                      <w:szCs w:val="21"/>
                    </w:rPr>
                  </w:pPr>
                  <w:r>
                    <w:rPr>
                      <w:color w:val="auto"/>
                      <w:szCs w:val="21"/>
                    </w:rPr>
                    <w:t>不推荐</w:t>
                  </w:r>
                </w:p>
              </w:tc>
              <w:tc>
                <w:tcPr>
                  <w:tcW w:w="154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ascii="Times New Roman" w:hAnsi="Times New Roman"/>
                      <w:color w:val="auto"/>
                      <w:kern w:val="0"/>
                      <w:sz w:val="21"/>
                      <w:szCs w:val="21"/>
                    </w:rPr>
                  </w:pPr>
                  <w:r>
                    <w:rPr>
                      <w:rFonts w:hint="eastAsia" w:ascii="Times New Roman"/>
                      <w:color w:val="auto"/>
                      <w:sz w:val="21"/>
                      <w:szCs w:val="21"/>
                    </w:rPr>
                    <w:t>路径方案唯一</w:t>
                  </w:r>
                </w:p>
              </w:tc>
            </w:tr>
          </w:tbl>
          <w:p>
            <w:pPr>
              <w:keepNext w:val="0"/>
              <w:keepLines w:val="0"/>
              <w:pageBreakBefore w:val="0"/>
              <w:widowControl w:val="0"/>
              <w:kinsoku/>
              <w:wordWrap/>
              <w:overflowPunct/>
              <w:topLinePunct w:val="0"/>
              <w:autoSpaceDE/>
              <w:autoSpaceDN/>
              <w:bidi w:val="0"/>
              <w:snapToGrid/>
              <w:spacing w:line="360" w:lineRule="auto"/>
              <w:ind w:firstLine="420"/>
              <w:outlineLvl w:val="9"/>
              <w:rPr>
                <w:rFonts w:hint="eastAsia" w:ascii="Times New Roman"/>
                <w:color w:val="auto"/>
                <w:sz w:val="21"/>
                <w:szCs w:val="21"/>
                <w:lang w:eastAsia="zh-CN"/>
              </w:rPr>
            </w:pPr>
            <w:r>
              <w:rPr>
                <w:rFonts w:hint="eastAsia"/>
                <w:color w:val="auto"/>
                <w:sz w:val="21"/>
                <w:szCs w:val="21"/>
                <w:lang w:eastAsia="zh-CN"/>
              </w:rPr>
              <w:t>通过上表比较</w:t>
            </w:r>
            <w:r>
              <w:rPr>
                <w:rFonts w:hint="eastAsia" w:ascii="Times New Roman"/>
                <w:color w:val="auto"/>
                <w:sz w:val="21"/>
                <w:szCs w:val="21"/>
                <w:lang w:val="en-US" w:eastAsia="zh-CN"/>
              </w:rPr>
              <w:t>可知，本工程线路总体由东南向西北方向走线。第一段线路为文昌气电至大致坡镇栽群村段。因大致坡镇密集建筑区与I类生态保护红线区及I、II级保护林地呈东北-西南分布，文昌燃气电厂又位于大致坡镇东南侧，线路</w:t>
            </w:r>
            <w:r>
              <w:rPr>
                <w:rFonts w:hint="eastAsia" w:ascii="Times New Roman"/>
                <w:color w:val="auto"/>
                <w:sz w:val="21"/>
                <w:szCs w:val="21"/>
                <w:lang w:eastAsia="zh-CN"/>
              </w:rPr>
              <w:t>只能在大致坡镇和</w:t>
            </w:r>
            <w:r>
              <w:rPr>
                <w:rFonts w:hint="eastAsia" w:ascii="Times New Roman"/>
                <w:color w:val="auto"/>
                <w:sz w:val="21"/>
                <w:szCs w:val="21"/>
              </w:rPr>
              <w:t>生态</w:t>
            </w:r>
            <w:r>
              <w:rPr>
                <w:rFonts w:hint="eastAsia" w:ascii="Times New Roman"/>
                <w:color w:val="auto"/>
                <w:sz w:val="21"/>
                <w:szCs w:val="21"/>
                <w:lang w:eastAsia="zh-CN"/>
              </w:rPr>
              <w:t>保护</w:t>
            </w:r>
            <w:r>
              <w:rPr>
                <w:rFonts w:hint="eastAsia" w:ascii="Times New Roman"/>
                <w:color w:val="auto"/>
                <w:sz w:val="21"/>
                <w:szCs w:val="21"/>
              </w:rPr>
              <w:t>红线</w:t>
            </w:r>
            <w:r>
              <w:rPr>
                <w:rFonts w:hint="eastAsia" w:ascii="Times New Roman"/>
                <w:color w:val="auto"/>
                <w:sz w:val="21"/>
                <w:szCs w:val="21"/>
                <w:lang w:eastAsia="zh-CN"/>
              </w:rPr>
              <w:t>区及保护林地中间走线，因此路径方案唯一。</w:t>
            </w:r>
          </w:p>
          <w:p>
            <w:pPr>
              <w:pStyle w:val="23"/>
              <w:spacing w:line="360" w:lineRule="auto"/>
              <w:rPr>
                <w:rFonts w:hint="eastAsia" w:ascii="Times New Roman"/>
                <w:color w:val="auto"/>
                <w:sz w:val="21"/>
                <w:szCs w:val="21"/>
                <w:lang w:eastAsia="zh-CN"/>
              </w:rPr>
            </w:pPr>
            <w:r>
              <w:rPr>
                <w:rFonts w:hint="eastAsia" w:ascii="Times New Roman"/>
                <w:color w:val="auto"/>
                <w:sz w:val="21"/>
                <w:szCs w:val="21"/>
                <w:lang w:eastAsia="zh-CN"/>
              </w:rPr>
              <w:t>第三段线路为</w:t>
            </w:r>
            <w:r>
              <w:rPr>
                <w:rFonts w:hint="eastAsia" w:ascii="Times New Roman"/>
                <w:color w:val="auto"/>
                <w:sz w:val="21"/>
                <w:szCs w:val="21"/>
              </w:rPr>
              <w:t>龙塘镇龙光村至π接点段</w:t>
            </w:r>
            <w:r>
              <w:rPr>
                <w:rFonts w:hint="eastAsia" w:ascii="Times New Roman"/>
                <w:color w:val="auto"/>
                <w:sz w:val="21"/>
                <w:szCs w:val="21"/>
                <w:lang w:eastAsia="zh-CN"/>
              </w:rPr>
              <w:t>。该段线路沿线有多处海南省生态保护红线区呈片状南北向分布。同时</w:t>
            </w:r>
            <w:r>
              <w:rPr>
                <w:rFonts w:hint="eastAsia" w:ascii="Times New Roman"/>
                <w:color w:val="auto"/>
                <w:sz w:val="21"/>
                <w:szCs w:val="21"/>
                <w:lang w:val="en-US" w:eastAsia="zh-CN"/>
              </w:rPr>
              <w:t>220kV玉洲变电站位于</w:t>
            </w:r>
            <w:r>
              <w:rPr>
                <w:rFonts w:hint="eastAsia" w:ascii="Times New Roman"/>
                <w:color w:val="auto"/>
                <w:sz w:val="21"/>
                <w:szCs w:val="21"/>
                <w:lang w:eastAsia="zh-CN"/>
              </w:rPr>
              <w:t>Ⅱ类生态保护红线区内，本工程新建线路需在220kV玉洲变附近进行π接。此外还受</w:t>
            </w:r>
            <w:r>
              <w:rPr>
                <w:rFonts w:hint="eastAsia" w:ascii="Times New Roman"/>
                <w:color w:val="auto"/>
                <w:sz w:val="21"/>
                <w:szCs w:val="21"/>
              </w:rPr>
              <w:t>龙塘镇密集村庄、</w:t>
            </w:r>
            <w:r>
              <w:rPr>
                <w:rFonts w:hint="eastAsia" w:ascii="Times New Roman"/>
                <w:color w:val="auto"/>
                <w:sz w:val="21"/>
                <w:szCs w:val="21"/>
                <w:lang w:eastAsia="zh-CN"/>
              </w:rPr>
              <w:t>美兰</w:t>
            </w:r>
            <w:r>
              <w:rPr>
                <w:rFonts w:hint="eastAsia" w:ascii="Times New Roman"/>
                <w:color w:val="auto"/>
                <w:sz w:val="21"/>
                <w:szCs w:val="21"/>
              </w:rPr>
              <w:t>机场限高区、已有电力线路及</w:t>
            </w:r>
            <w:r>
              <w:rPr>
                <w:rFonts w:hint="eastAsia" w:ascii="Times New Roman"/>
                <w:color w:val="auto"/>
                <w:sz w:val="21"/>
                <w:szCs w:val="21"/>
                <w:lang w:eastAsia="zh-CN"/>
              </w:rPr>
              <w:t>建设</w:t>
            </w:r>
            <w:r>
              <w:rPr>
                <w:rFonts w:hint="eastAsia" w:ascii="Times New Roman"/>
                <w:color w:val="auto"/>
                <w:sz w:val="21"/>
                <w:szCs w:val="21"/>
              </w:rPr>
              <w:t>用地等</w:t>
            </w:r>
            <w:r>
              <w:rPr>
                <w:rFonts w:hint="eastAsia" w:ascii="Times New Roman"/>
                <w:color w:val="auto"/>
                <w:sz w:val="21"/>
                <w:szCs w:val="21"/>
                <w:lang w:eastAsia="zh-CN"/>
              </w:rPr>
              <w:t>因素限制，路径方案较唯一。</w:t>
            </w:r>
          </w:p>
          <w:p>
            <w:pPr>
              <w:pStyle w:val="23"/>
              <w:spacing w:line="360" w:lineRule="auto"/>
              <w:rPr>
                <w:rFonts w:hint="eastAsia" w:ascii="Times New Roman"/>
                <w:color w:val="auto"/>
                <w:sz w:val="21"/>
                <w:szCs w:val="21"/>
                <w:lang w:eastAsia="zh-CN"/>
              </w:rPr>
            </w:pPr>
            <w:r>
              <w:rPr>
                <w:rFonts w:hint="eastAsia" w:ascii="Times New Roman"/>
                <w:color w:val="auto"/>
                <w:sz w:val="21"/>
                <w:szCs w:val="21"/>
                <w:lang w:eastAsia="zh-CN"/>
              </w:rPr>
              <w:t>第二段线路为</w:t>
            </w:r>
            <w:r>
              <w:rPr>
                <w:rFonts w:hint="eastAsia" w:ascii="Times New Roman"/>
                <w:color w:val="auto"/>
                <w:sz w:val="21"/>
                <w:szCs w:val="21"/>
              </w:rPr>
              <w:t>大致坡镇栽群村至龙塘镇龙光村段</w:t>
            </w:r>
            <w:r>
              <w:rPr>
                <w:rFonts w:hint="eastAsia" w:ascii="Times New Roman"/>
                <w:color w:val="auto"/>
                <w:sz w:val="21"/>
                <w:szCs w:val="21"/>
                <w:lang w:eastAsia="zh-CN"/>
              </w:rPr>
              <w:t>，分为北、中、南三个路径方案。其中北方案线路长度最短，仅涉及羊山湿地多用途管理区，不涉及海南省生态保护红线、湿地公园及饮用水水源保护区，但线路路径受美兰机场（线路北侧）、云龙国家高新产业园（线路横穿）、云龙镇规划用地及该镇南侧的旅游度假规划用地（线路南侧）、龙塘镇规划用地及密集村庄（线路南侧）等因素限制，且需要在密集村庄之间穿行，该方案取得相关路径协议难度很大，因此该方案无法落实；南方案线路长度比北方案长</w:t>
            </w:r>
            <w:r>
              <w:rPr>
                <w:rFonts w:hint="eastAsia" w:ascii="Times New Roman"/>
                <w:color w:val="auto"/>
                <w:sz w:val="21"/>
                <w:szCs w:val="21"/>
                <w:lang w:val="en-US" w:eastAsia="zh-CN"/>
              </w:rPr>
              <w:t>1km</w:t>
            </w:r>
            <w:r>
              <w:rPr>
                <w:rFonts w:hint="eastAsia" w:ascii="Times New Roman"/>
                <w:color w:val="auto"/>
                <w:sz w:val="21"/>
                <w:szCs w:val="21"/>
                <w:lang w:eastAsia="zh-CN"/>
              </w:rPr>
              <w:t>较中方案短</w:t>
            </w:r>
            <w:r>
              <w:rPr>
                <w:rFonts w:hint="eastAsia" w:ascii="Times New Roman"/>
                <w:color w:val="auto"/>
                <w:sz w:val="21"/>
                <w:szCs w:val="21"/>
                <w:lang w:val="en-US" w:eastAsia="zh-CN"/>
              </w:rPr>
              <w:t>4km</w:t>
            </w:r>
            <w:r>
              <w:rPr>
                <w:rFonts w:hint="eastAsia" w:ascii="Times New Roman"/>
                <w:color w:val="auto"/>
                <w:sz w:val="21"/>
                <w:szCs w:val="21"/>
                <w:lang w:eastAsia="zh-CN"/>
              </w:rPr>
              <w:t>，但线路横穿红旗镇镇区用地规划，对该镇远期发展造成影响。同时南方案线路涉及到</w:t>
            </w:r>
            <w:r>
              <w:rPr>
                <w:rFonts w:hint="eastAsia" w:ascii="Times New Roman"/>
                <w:color w:val="auto"/>
                <w:sz w:val="21"/>
                <w:szCs w:val="21"/>
                <w:lang w:val="en-US" w:eastAsia="zh-CN"/>
              </w:rPr>
              <w:t>2处</w:t>
            </w:r>
            <w:r>
              <w:rPr>
                <w:rFonts w:hint="eastAsia" w:ascii="Times New Roman"/>
                <w:color w:val="auto"/>
                <w:sz w:val="21"/>
                <w:szCs w:val="21"/>
                <w:lang w:eastAsia="zh-CN"/>
              </w:rPr>
              <w:t>海南省生态保护红线、</w:t>
            </w:r>
            <w:r>
              <w:rPr>
                <w:rFonts w:hint="eastAsia" w:ascii="Times New Roman"/>
                <w:color w:val="auto"/>
                <w:sz w:val="21"/>
                <w:szCs w:val="21"/>
                <w:lang w:val="en-US" w:eastAsia="zh-CN"/>
              </w:rPr>
              <w:t>2个</w:t>
            </w:r>
            <w:r>
              <w:rPr>
                <w:rFonts w:hint="eastAsia" w:ascii="Times New Roman"/>
                <w:color w:val="auto"/>
                <w:sz w:val="21"/>
                <w:szCs w:val="21"/>
                <w:lang w:eastAsia="zh-CN"/>
              </w:rPr>
              <w:t>湿地公园及羊山湿地多用途管理区、</w:t>
            </w:r>
            <w:r>
              <w:rPr>
                <w:rFonts w:hint="eastAsia" w:ascii="Times New Roman"/>
                <w:color w:val="auto"/>
                <w:sz w:val="21"/>
                <w:szCs w:val="21"/>
                <w:lang w:val="en-US" w:eastAsia="zh-CN"/>
              </w:rPr>
              <w:t>1处</w:t>
            </w:r>
            <w:r>
              <w:rPr>
                <w:rFonts w:hint="eastAsia" w:ascii="Times New Roman"/>
                <w:color w:val="auto"/>
                <w:sz w:val="21"/>
                <w:szCs w:val="21"/>
                <w:lang w:eastAsia="zh-CN"/>
              </w:rPr>
              <w:t>饮用水水源保护区，该方案也不推荐。中方案线路长度最长，线路也涉及到</w:t>
            </w:r>
            <w:r>
              <w:rPr>
                <w:rFonts w:hint="eastAsia" w:ascii="Times New Roman"/>
                <w:color w:val="auto"/>
                <w:sz w:val="21"/>
                <w:szCs w:val="21"/>
                <w:lang w:val="en-US" w:eastAsia="zh-CN"/>
              </w:rPr>
              <w:t>2处</w:t>
            </w:r>
            <w:r>
              <w:rPr>
                <w:rFonts w:hint="eastAsia" w:ascii="Times New Roman"/>
                <w:color w:val="auto"/>
                <w:sz w:val="21"/>
                <w:szCs w:val="21"/>
                <w:lang w:eastAsia="zh-CN"/>
              </w:rPr>
              <w:t>海南省生态保护红线、</w:t>
            </w:r>
            <w:r>
              <w:rPr>
                <w:rFonts w:hint="eastAsia" w:ascii="Times New Roman"/>
                <w:color w:val="auto"/>
                <w:sz w:val="21"/>
                <w:szCs w:val="21"/>
                <w:lang w:val="en-US" w:eastAsia="zh-CN"/>
              </w:rPr>
              <w:t>2个</w:t>
            </w:r>
            <w:r>
              <w:rPr>
                <w:rFonts w:hint="eastAsia" w:ascii="Times New Roman"/>
                <w:color w:val="auto"/>
                <w:sz w:val="21"/>
                <w:szCs w:val="21"/>
                <w:lang w:eastAsia="zh-CN"/>
              </w:rPr>
              <w:t>湿地公园及羊山湿地多用途管理区、</w:t>
            </w:r>
            <w:r>
              <w:rPr>
                <w:rFonts w:hint="eastAsia" w:ascii="Times New Roman"/>
                <w:color w:val="auto"/>
                <w:sz w:val="21"/>
                <w:szCs w:val="21"/>
                <w:lang w:val="en-US" w:eastAsia="zh-CN"/>
              </w:rPr>
              <w:t>1处</w:t>
            </w:r>
            <w:r>
              <w:rPr>
                <w:rFonts w:hint="eastAsia" w:ascii="Times New Roman"/>
                <w:color w:val="auto"/>
                <w:sz w:val="21"/>
                <w:szCs w:val="21"/>
                <w:lang w:eastAsia="zh-CN"/>
              </w:rPr>
              <w:t>饮用水水源保护区。但线路基本沿已有高压线走线，且途经区域基本为各个镇的交界地带，对各镇的规划发展影响较小，本方案为第二段的推荐方案。</w:t>
            </w:r>
          </w:p>
          <w:p>
            <w:pPr>
              <w:pStyle w:val="23"/>
              <w:spacing w:line="360" w:lineRule="auto"/>
              <w:rPr>
                <w:rFonts w:hint="eastAsia" w:ascii="Times New Roman" w:cs="Times New Roman"/>
                <w:color w:val="auto"/>
                <w:sz w:val="21"/>
                <w:szCs w:val="21"/>
                <w:lang w:eastAsia="zh-CN"/>
              </w:rPr>
            </w:pPr>
            <w:r>
              <w:rPr>
                <w:rFonts w:hint="eastAsia" w:ascii="Times New Roman"/>
                <w:color w:val="auto"/>
                <w:sz w:val="21"/>
                <w:szCs w:val="21"/>
                <w:lang w:eastAsia="zh-CN"/>
              </w:rPr>
              <w:t>北方案因美兰机场、云龙国家高新产业园、云龙镇规划用地及该镇南侧的旅游度假规划用地；龙塘镇规划用地及密集村庄等因素限制较多，方案无法落实。线路只能在龙塘镇和云龙镇的南侧走线。</w:t>
            </w:r>
            <w:r>
              <w:rPr>
                <w:rFonts w:hint="eastAsia" w:ascii="Times New Roman" w:cs="Times New Roman"/>
                <w:color w:val="auto"/>
                <w:sz w:val="21"/>
                <w:szCs w:val="21"/>
                <w:lang w:eastAsia="zh-CN"/>
              </w:rPr>
              <w:t>本工程线路大致为东南至西北走线，</w:t>
            </w:r>
            <w:r>
              <w:rPr>
                <w:rFonts w:hint="eastAsia" w:ascii="Times New Roman" w:hAnsi="Times New Roman" w:cs="Times New Roman"/>
                <w:color w:val="auto"/>
                <w:sz w:val="21"/>
                <w:szCs w:val="21"/>
                <w:lang w:eastAsia="zh-CN"/>
              </w:rPr>
              <w:t>南渡江为南北方向，线路路径不可避免的会</w:t>
            </w:r>
            <w:r>
              <w:rPr>
                <w:rFonts w:hint="eastAsia" w:ascii="Times New Roman" w:cs="Times New Roman"/>
                <w:color w:val="auto"/>
                <w:sz w:val="21"/>
                <w:szCs w:val="21"/>
                <w:lang w:eastAsia="zh-CN"/>
              </w:rPr>
              <w:t>跨越南渡江。</w:t>
            </w:r>
            <w:r>
              <w:rPr>
                <w:rFonts w:hint="eastAsia" w:ascii="Times New Roman"/>
                <w:color w:val="auto"/>
                <w:sz w:val="21"/>
                <w:szCs w:val="21"/>
                <w:lang w:eastAsia="zh-CN"/>
              </w:rPr>
              <w:t>为避让南渡江龙塘饮用水水源保护区的一级水域及陆域范围（水源地取水口位于南渡江龙塘段上游，即该水源保护区北部，距本工程线路最近距离约</w:t>
            </w:r>
            <w:r>
              <w:rPr>
                <w:rFonts w:hint="eastAsia" w:ascii="Times New Roman"/>
                <w:color w:val="auto"/>
                <w:sz w:val="21"/>
                <w:szCs w:val="21"/>
                <w:lang w:val="en-US" w:eastAsia="zh-CN"/>
              </w:rPr>
              <w:t>1.4km</w:t>
            </w:r>
            <w:r>
              <w:rPr>
                <w:rFonts w:hint="eastAsia" w:ascii="Times New Roman"/>
                <w:color w:val="auto"/>
                <w:sz w:val="21"/>
                <w:szCs w:val="21"/>
                <w:lang w:eastAsia="zh-CN"/>
              </w:rPr>
              <w:t>）及海南生态保护红线Ⅰ类区，线路路径只能选择南移</w:t>
            </w:r>
            <w:r>
              <w:rPr>
                <w:rFonts w:hint="eastAsia" w:ascii="Times New Roman" w:hAnsi="Times New Roman" w:cs="Times New Roman"/>
                <w:color w:val="auto"/>
                <w:sz w:val="21"/>
                <w:szCs w:val="21"/>
                <w:lang w:eastAsia="zh-CN"/>
              </w:rPr>
              <w:t>穿越南渡江龙塘饮用水水源保护区二级水域及陆域和准保护区水域及陆域</w:t>
            </w:r>
            <w:r>
              <w:rPr>
                <w:rFonts w:hint="eastAsia" w:ascii="Times New Roman" w:cs="Times New Roman"/>
                <w:color w:val="auto"/>
                <w:sz w:val="21"/>
                <w:szCs w:val="21"/>
                <w:lang w:eastAsia="zh-CN"/>
              </w:rPr>
              <w:t>、</w:t>
            </w:r>
            <w:r>
              <w:rPr>
                <w:rFonts w:hint="eastAsia" w:ascii="Times New Roman"/>
                <w:color w:val="auto"/>
                <w:sz w:val="21"/>
                <w:szCs w:val="21"/>
                <w:lang w:eastAsia="zh-CN"/>
              </w:rPr>
              <w:t>海南生态保护红线Ⅱ类区</w:t>
            </w:r>
            <w:r>
              <w:rPr>
                <w:rFonts w:hint="eastAsia" w:ascii="Times New Roman" w:hAnsi="Times New Roman" w:cs="Times New Roman"/>
                <w:color w:val="auto"/>
                <w:sz w:val="21"/>
                <w:szCs w:val="21"/>
                <w:lang w:eastAsia="zh-CN"/>
              </w:rPr>
              <w:t>以及依附南渡江支流形成的海口三十六曲溪省级湿地公园</w:t>
            </w:r>
            <w:r>
              <w:rPr>
                <w:rFonts w:hint="eastAsia" w:ascii="Times New Roman" w:cs="Times New Roman"/>
                <w:color w:val="auto"/>
                <w:sz w:val="21"/>
                <w:szCs w:val="21"/>
                <w:lang w:eastAsia="zh-CN"/>
              </w:rPr>
              <w:t>、</w:t>
            </w:r>
            <w:r>
              <w:rPr>
                <w:rFonts w:hint="eastAsia" w:ascii="Times New Roman" w:hAnsi="Times New Roman" w:cs="Times New Roman"/>
                <w:color w:val="auto"/>
                <w:sz w:val="21"/>
                <w:szCs w:val="21"/>
                <w:lang w:eastAsia="zh-CN"/>
              </w:rPr>
              <w:t>新旧沟湿地乡村公园</w:t>
            </w:r>
            <w:r>
              <w:rPr>
                <w:rFonts w:hint="eastAsia" w:ascii="Times New Roman" w:cs="Times New Roman"/>
                <w:color w:val="auto"/>
                <w:sz w:val="21"/>
                <w:szCs w:val="21"/>
                <w:lang w:eastAsia="zh-CN"/>
              </w:rPr>
              <w:t>（新旧沟湿地保护小区）及羊山湿地多用途管理区</w:t>
            </w:r>
            <w:r>
              <w:rPr>
                <w:rFonts w:hint="eastAsia" w:ascii="Times New Roman" w:hAnsi="Times New Roman" w:cs="Times New Roman"/>
                <w:color w:val="auto"/>
                <w:sz w:val="21"/>
                <w:szCs w:val="21"/>
                <w:lang w:eastAsia="zh-CN"/>
              </w:rPr>
              <w:t>。</w:t>
            </w:r>
            <w:r>
              <w:rPr>
                <w:rFonts w:hint="eastAsia" w:ascii="Times New Roman" w:cs="Times New Roman"/>
                <w:color w:val="auto"/>
                <w:sz w:val="21"/>
                <w:szCs w:val="21"/>
                <w:lang w:eastAsia="zh-CN"/>
              </w:rPr>
              <w:t>本工程所涉及到的海南省生态保护红线区、</w:t>
            </w:r>
            <w:r>
              <w:rPr>
                <w:rFonts w:hint="eastAsia" w:ascii="Times New Roman" w:hAnsi="Times New Roman" w:cs="Times New Roman"/>
                <w:color w:val="auto"/>
                <w:sz w:val="21"/>
                <w:szCs w:val="21"/>
                <w:lang w:eastAsia="zh-CN"/>
              </w:rPr>
              <w:t>南渡江龙塘饮用水水源保护区</w:t>
            </w:r>
            <w:r>
              <w:rPr>
                <w:rFonts w:hint="eastAsia" w:ascii="Times New Roman" w:cs="Times New Roman"/>
                <w:color w:val="auto"/>
                <w:sz w:val="21"/>
                <w:szCs w:val="21"/>
                <w:lang w:eastAsia="zh-CN"/>
              </w:rPr>
              <w:t>、</w:t>
            </w:r>
            <w:r>
              <w:rPr>
                <w:rFonts w:hint="eastAsia" w:ascii="Times New Roman" w:hAnsi="Times New Roman" w:cs="Times New Roman"/>
                <w:color w:val="auto"/>
                <w:sz w:val="21"/>
                <w:szCs w:val="21"/>
                <w:lang w:eastAsia="zh-CN"/>
              </w:rPr>
              <w:t>海口三十六曲溪省级湿地公园</w:t>
            </w:r>
            <w:r>
              <w:rPr>
                <w:rFonts w:hint="eastAsia" w:ascii="Times New Roman" w:cs="Times New Roman"/>
                <w:color w:val="auto"/>
                <w:sz w:val="21"/>
                <w:szCs w:val="21"/>
                <w:lang w:eastAsia="zh-CN"/>
              </w:rPr>
              <w:t>、</w:t>
            </w:r>
            <w:r>
              <w:rPr>
                <w:rFonts w:hint="eastAsia" w:ascii="Times New Roman" w:hAnsi="Times New Roman" w:cs="Times New Roman"/>
                <w:color w:val="auto"/>
                <w:sz w:val="21"/>
                <w:szCs w:val="21"/>
                <w:lang w:eastAsia="zh-CN"/>
              </w:rPr>
              <w:t>新旧沟湿地乡村公园</w:t>
            </w:r>
            <w:r>
              <w:rPr>
                <w:rFonts w:hint="eastAsia" w:ascii="Times New Roman" w:cs="Times New Roman"/>
                <w:color w:val="auto"/>
                <w:sz w:val="21"/>
                <w:szCs w:val="21"/>
                <w:lang w:eastAsia="zh-CN"/>
              </w:rPr>
              <w:t>（新旧沟湿地保护小区）及羊山湿地多用途管理区的规划范围还相互重合。</w:t>
            </w:r>
          </w:p>
          <w:p>
            <w:pPr>
              <w:pStyle w:val="23"/>
              <w:spacing w:line="360" w:lineRule="auto"/>
              <w:rPr>
                <w:rFonts w:hint="eastAsia" w:ascii="Times New Roman" w:cs="Times New Roman"/>
                <w:color w:val="auto"/>
                <w:sz w:val="21"/>
                <w:szCs w:val="21"/>
                <w:lang w:eastAsia="zh-CN"/>
              </w:rPr>
            </w:pPr>
            <w:r>
              <w:rPr>
                <w:rFonts w:hint="eastAsia" w:ascii="Times New Roman" w:cs="Times New Roman"/>
                <w:color w:val="auto"/>
                <w:sz w:val="21"/>
                <w:szCs w:val="21"/>
                <w:lang w:eastAsia="zh-CN"/>
              </w:rPr>
              <w:t>经现场调查，本工程线路距海口响水河溪省级湿地公园最近距离约</w:t>
            </w:r>
            <w:r>
              <w:rPr>
                <w:rFonts w:hint="eastAsia" w:ascii="Times New Roman" w:cs="Times New Roman"/>
                <w:color w:val="auto"/>
                <w:sz w:val="21"/>
                <w:szCs w:val="21"/>
                <w:lang w:val="en-US" w:eastAsia="zh-CN"/>
              </w:rPr>
              <w:t>750m，</w:t>
            </w:r>
            <w:r>
              <w:rPr>
                <w:rFonts w:hint="eastAsia" w:ascii="Times New Roman" w:cs="Times New Roman"/>
                <w:color w:val="auto"/>
                <w:sz w:val="21"/>
                <w:szCs w:val="21"/>
                <w:lang w:eastAsia="zh-CN"/>
              </w:rPr>
              <w:t>空间跨越海口三十六曲溪省级湿地公园，穿越新旧沟湿地乡村公园（空间跨越新旧沟湿地保护小区）和羊山湿地多用途管理区。根据海口林业局复函（海林函</w:t>
            </w:r>
            <w:r>
              <w:rPr>
                <w:rFonts w:hint="eastAsia" w:ascii="Times New Roman" w:cs="Times New Roman"/>
                <w:color w:val="auto"/>
                <w:sz w:val="21"/>
                <w:szCs w:val="21"/>
                <w:lang w:val="en-US" w:eastAsia="zh-CN"/>
              </w:rPr>
              <w:t>[</w:t>
            </w:r>
            <w:r>
              <w:rPr>
                <w:rFonts w:hint="eastAsia" w:ascii="Times New Roman" w:cs="Times New Roman"/>
                <w:color w:val="auto"/>
                <w:sz w:val="21"/>
                <w:szCs w:val="21"/>
                <w:lang w:eastAsia="zh-CN"/>
              </w:rPr>
              <w:t>2019</w:t>
            </w:r>
            <w:r>
              <w:rPr>
                <w:rFonts w:hint="eastAsia" w:ascii="Times New Roman" w:cs="Times New Roman"/>
                <w:color w:val="auto"/>
                <w:sz w:val="21"/>
                <w:szCs w:val="21"/>
                <w:lang w:val="en-US" w:eastAsia="zh-CN"/>
              </w:rPr>
              <w:t>]</w:t>
            </w:r>
            <w:r>
              <w:rPr>
                <w:rFonts w:hint="eastAsia" w:ascii="Times New Roman" w:cs="Times New Roman"/>
                <w:color w:val="auto"/>
                <w:sz w:val="21"/>
                <w:szCs w:val="21"/>
                <w:lang w:eastAsia="zh-CN"/>
              </w:rPr>
              <w:t>506 号），经套入套入《海口市湿地生态保护红线》查询，本工程线路涉及新旧沟湿地保护小区及羊山湿地多用途管理区，不涉及湿地本底资源</w:t>
            </w:r>
            <w:r>
              <w:rPr>
                <w:rFonts w:hint="eastAsia" w:ascii="Times New Roman"/>
                <w:color w:val="auto"/>
                <w:sz w:val="21"/>
                <w:szCs w:val="21"/>
                <w:lang w:eastAsia="zh-CN"/>
              </w:rPr>
              <w:t>。因本工程是省2019年重点项目，根据《海南省湿地保护管理条例》第二十二条、《海口市人民代表大会常务委员会关于加强湿地保护管理的决定》第七条第二款的相关规定，本工程涉及新旧沟湿地保护小区段线路</w:t>
            </w:r>
            <w:r>
              <w:rPr>
                <w:rFonts w:hint="eastAsia" w:ascii="Times New Roman" w:hAnsi="Times New Roman" w:cs="Times New Roman"/>
                <w:color w:val="auto"/>
                <w:sz w:val="21"/>
                <w:szCs w:val="21"/>
                <w:lang w:eastAsia="zh-CN"/>
              </w:rPr>
              <w:t>，符合占用湿地条件，</w:t>
            </w:r>
            <w:r>
              <w:rPr>
                <w:rFonts w:hint="eastAsia" w:ascii="Times New Roman" w:cs="Times New Roman"/>
                <w:color w:val="auto"/>
                <w:sz w:val="21"/>
                <w:szCs w:val="21"/>
                <w:lang w:eastAsia="zh-CN"/>
              </w:rPr>
              <w:t>但须</w:t>
            </w:r>
            <w:r>
              <w:rPr>
                <w:rFonts w:hint="eastAsia" w:ascii="Times New Roman" w:hAnsi="Times New Roman" w:cs="Times New Roman"/>
                <w:color w:val="auto"/>
                <w:sz w:val="21"/>
                <w:szCs w:val="21"/>
                <w:lang w:eastAsia="zh-CN"/>
              </w:rPr>
              <w:t>向市政府申请核减，经市政府批复同意核减后，项目方可施工建设。涉及羊山湿地多用途管理区</w:t>
            </w:r>
            <w:r>
              <w:rPr>
                <w:rFonts w:hint="eastAsia" w:ascii="Times New Roman" w:cs="Times New Roman"/>
                <w:color w:val="auto"/>
                <w:sz w:val="21"/>
                <w:szCs w:val="21"/>
                <w:lang w:eastAsia="zh-CN"/>
              </w:rPr>
              <w:t>段线路</w:t>
            </w:r>
            <w:r>
              <w:rPr>
                <w:rFonts w:hint="eastAsia" w:ascii="Times New Roman" w:hAnsi="Times New Roman" w:cs="Times New Roman"/>
                <w:color w:val="auto"/>
                <w:sz w:val="21"/>
                <w:szCs w:val="21"/>
                <w:lang w:eastAsia="zh-CN"/>
              </w:rPr>
              <w:t>，可以开展项目建设，但必须严格按照有关规定，强化生态保护理念，加强项目施工建设及运营的管控，特别是严格控制污染源方面的管控，避免对周边湿地生态环境造成损害</w:t>
            </w:r>
            <w:r>
              <w:rPr>
                <w:rFonts w:hint="eastAsia" w:ascii="Times New Roman" w:cs="Times New Roman"/>
                <w:color w:val="auto"/>
                <w:sz w:val="21"/>
                <w:szCs w:val="21"/>
                <w:lang w:eastAsia="zh-CN"/>
              </w:rPr>
              <w:t>。</w:t>
            </w:r>
          </w:p>
          <w:p>
            <w:pPr>
              <w:pStyle w:val="23"/>
              <w:spacing w:line="360" w:lineRule="auto"/>
              <w:rPr>
                <w:rFonts w:hint="default" w:ascii="Times New Roman" w:cs="Times New Roman"/>
                <w:color w:val="auto"/>
                <w:sz w:val="21"/>
                <w:szCs w:val="21"/>
                <w:lang w:val="en-US" w:eastAsia="zh-CN"/>
              </w:rPr>
            </w:pPr>
            <w:r>
              <w:rPr>
                <w:rFonts w:hint="eastAsia" w:ascii="Times New Roman" w:cs="Times New Roman"/>
                <w:color w:val="auto"/>
                <w:sz w:val="21"/>
                <w:szCs w:val="21"/>
                <w:lang w:eastAsia="zh-CN"/>
              </w:rPr>
              <w:t>本工程线路还穿越</w:t>
            </w:r>
            <w:r>
              <w:rPr>
                <w:rFonts w:hint="eastAsia" w:ascii="Times New Roman" w:cs="Times New Roman"/>
                <w:color w:val="auto"/>
                <w:sz w:val="21"/>
                <w:szCs w:val="21"/>
                <w:lang w:val="en-US" w:eastAsia="zh-CN"/>
              </w:rPr>
              <w:t>4处</w:t>
            </w:r>
            <w:r>
              <w:rPr>
                <w:rFonts w:hint="eastAsia" w:ascii="Times New Roman" w:cs="Times New Roman"/>
                <w:color w:val="auto"/>
                <w:sz w:val="21"/>
                <w:szCs w:val="21"/>
                <w:lang w:eastAsia="zh-CN"/>
              </w:rPr>
              <w:t>海南省生态保护红线区，包括生物多样性保护、水源保护与水源涵养两个类别的功能区。</w:t>
            </w:r>
            <w:r>
              <w:rPr>
                <w:rFonts w:hint="eastAsia" w:ascii="Times New Roman" w:hAnsi="Times New Roman" w:cs="Times New Roman"/>
                <w:color w:val="auto"/>
                <w:sz w:val="21"/>
                <w:szCs w:val="21"/>
                <w:lang w:eastAsia="zh-CN"/>
              </w:rPr>
              <w:t>根据《海南省人民政府关于划定海南省生态保护红线的通告》（琼府</w:t>
            </w:r>
            <w:r>
              <w:rPr>
                <w:rFonts w:hint="eastAsia" w:ascii="Times New Roman" w:cs="Times New Roman"/>
                <w:color w:val="auto"/>
                <w:sz w:val="21"/>
                <w:szCs w:val="21"/>
                <w:lang w:val="en-US" w:eastAsia="zh-CN"/>
              </w:rPr>
              <w:t>[</w:t>
            </w:r>
            <w:r>
              <w:rPr>
                <w:rFonts w:hint="eastAsia" w:ascii="Times New Roman" w:hAnsi="Times New Roman" w:cs="Times New Roman"/>
                <w:color w:val="auto"/>
                <w:sz w:val="21"/>
                <w:szCs w:val="21"/>
                <w:lang w:eastAsia="zh-CN"/>
              </w:rPr>
              <w:t>2016</w:t>
            </w:r>
            <w:r>
              <w:rPr>
                <w:rFonts w:hint="eastAsia" w:ascii="Times New Roman" w:cs="Times New Roman"/>
                <w:color w:val="auto"/>
                <w:sz w:val="21"/>
                <w:szCs w:val="21"/>
                <w:lang w:val="en-US" w:eastAsia="zh-CN"/>
              </w:rPr>
              <w:t>]</w:t>
            </w:r>
            <w:r>
              <w:rPr>
                <w:rFonts w:hint="eastAsia" w:ascii="Times New Roman" w:hAnsi="Times New Roman" w:cs="Times New Roman"/>
                <w:color w:val="auto"/>
                <w:sz w:val="21"/>
                <w:szCs w:val="21"/>
                <w:lang w:eastAsia="zh-CN"/>
              </w:rPr>
              <w:t>90号）及《海南省陆域生态保护红线区开发建设管理目录》（琼府办</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eastAsia="zh-CN"/>
              </w:rPr>
              <w:t>2016</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eastAsia="zh-CN"/>
              </w:rPr>
              <w:t>239号）规定，本工程属于海南省陆域Ⅱ类生态保护红线区保护与开发建设准入目录清单中的生物多样性保护</w:t>
            </w:r>
            <w:r>
              <w:rPr>
                <w:rFonts w:hint="eastAsia" w:ascii="Times New Roman" w:cs="Times New Roman"/>
                <w:color w:val="auto"/>
                <w:sz w:val="21"/>
                <w:szCs w:val="21"/>
                <w:lang w:eastAsia="zh-CN"/>
              </w:rPr>
              <w:t>及</w:t>
            </w:r>
            <w:r>
              <w:rPr>
                <w:rFonts w:hint="eastAsia" w:ascii="Times New Roman" w:hAnsi="Times New Roman" w:cs="Times New Roman"/>
                <w:color w:val="auto"/>
                <w:sz w:val="21"/>
                <w:szCs w:val="21"/>
                <w:lang w:eastAsia="zh-CN"/>
              </w:rPr>
              <w:t>水源保护与水源涵养</w:t>
            </w:r>
            <w:r>
              <w:rPr>
                <w:rFonts w:hint="eastAsia" w:ascii="Times New Roman" w:cs="Times New Roman"/>
                <w:color w:val="auto"/>
                <w:sz w:val="21"/>
                <w:szCs w:val="21"/>
                <w:lang w:eastAsia="zh-CN"/>
              </w:rPr>
              <w:t>两个类别</w:t>
            </w:r>
            <w:r>
              <w:rPr>
                <w:rFonts w:hint="eastAsia" w:ascii="Times New Roman" w:hAnsi="Times New Roman" w:cs="Times New Roman"/>
                <w:color w:val="auto"/>
                <w:sz w:val="21"/>
                <w:szCs w:val="21"/>
                <w:lang w:eastAsia="zh-CN"/>
              </w:rPr>
              <w:t>功能区</w:t>
            </w:r>
            <w:r>
              <w:rPr>
                <w:rFonts w:hint="eastAsia" w:ascii="Times New Roman" w:cs="Times New Roman"/>
                <w:color w:val="auto"/>
                <w:sz w:val="21"/>
                <w:szCs w:val="21"/>
                <w:lang w:eastAsia="zh-CN"/>
              </w:rPr>
              <w:t>中的</w:t>
            </w:r>
            <w:r>
              <w:rPr>
                <w:rFonts w:hint="eastAsia" w:ascii="Times New Roman" w:hAnsi="Times New Roman" w:cs="Times New Roman"/>
                <w:color w:val="auto"/>
                <w:sz w:val="21"/>
                <w:szCs w:val="21"/>
                <w:lang w:eastAsia="zh-CN"/>
              </w:rPr>
              <w:t>“机场、公路、铁路、港口、水利等国家和省重大基础设施及管网、电网、差转台、电视塔台、无线通讯、雷达等基础设施”中的电网类项目，满足准入要求。符合《海南省生态保护红线管理规定》的</w:t>
            </w:r>
            <w:r>
              <w:rPr>
                <w:rFonts w:hint="eastAsia" w:ascii="Times New Roman"/>
                <w:color w:val="auto"/>
                <w:sz w:val="21"/>
                <w:szCs w:val="21"/>
                <w:lang w:eastAsia="zh-CN"/>
              </w:rPr>
              <w:t>相关要求。</w:t>
            </w:r>
          </w:p>
          <w:p>
            <w:pPr>
              <w:pStyle w:val="23"/>
              <w:spacing w:line="360" w:lineRule="auto"/>
              <w:rPr>
                <w:rFonts w:hint="eastAsia" w:ascii="Times New Roman" w:hAnsi="Times New Roman" w:cs="Times New Roman"/>
                <w:color w:val="auto"/>
                <w:sz w:val="21"/>
                <w:szCs w:val="21"/>
                <w:lang w:eastAsia="zh-CN"/>
              </w:rPr>
            </w:pPr>
            <w:r>
              <w:rPr>
                <w:rFonts w:hint="eastAsia" w:ascii="Times New Roman" w:cs="Times New Roman"/>
                <w:color w:val="auto"/>
                <w:sz w:val="21"/>
                <w:szCs w:val="21"/>
                <w:lang w:eastAsia="zh-CN"/>
              </w:rPr>
              <w:t>此外，本工程线路还穿越南渡江龙塘饮用水水源保护区二级水域及陆域和准保护区水域及陆域。输电线路工程属点－（架空）线工程，工程实际扰动区为点状分布，建成运行后除对电磁环境及声环境造成影响外，无其他污染物排放。根据《海南省饮用水水源保护条例》第二十条和第二十一条规定，</w:t>
            </w:r>
            <w:r>
              <w:rPr>
                <w:rFonts w:hint="eastAsia" w:ascii="Times New Roman"/>
                <w:color w:val="auto"/>
                <w:sz w:val="21"/>
                <w:szCs w:val="21"/>
                <w:lang w:eastAsia="zh-CN"/>
              </w:rPr>
              <w:t>本工程并不属于在饮用水水源准保护区和二级保护区内禁止的建设项目，符合环境功能区划要求。</w:t>
            </w:r>
          </w:p>
          <w:p>
            <w:pPr>
              <w:pStyle w:val="23"/>
              <w:spacing w:line="360" w:lineRule="auto"/>
              <w:rPr>
                <w:rFonts w:hint="eastAsia" w:ascii="Times New Roman" w:hAnsi="Times New Roman" w:cs="Times New Roman"/>
                <w:color w:val="auto"/>
                <w:sz w:val="21"/>
                <w:szCs w:val="21"/>
                <w:lang w:eastAsia="zh-CN"/>
              </w:rPr>
            </w:pPr>
            <w:r>
              <w:rPr>
                <w:rFonts w:hint="eastAsia" w:ascii="Times New Roman" w:cs="Times New Roman"/>
                <w:color w:val="auto"/>
                <w:sz w:val="21"/>
                <w:szCs w:val="21"/>
                <w:lang w:eastAsia="zh-CN"/>
              </w:rPr>
              <w:t>因此，</w:t>
            </w:r>
            <w:r>
              <w:rPr>
                <w:rFonts w:hint="eastAsia" w:ascii="Times New Roman" w:hAnsi="Times New Roman" w:cs="Times New Roman"/>
                <w:color w:val="auto"/>
                <w:sz w:val="21"/>
                <w:szCs w:val="21"/>
                <w:lang w:eastAsia="zh-CN"/>
              </w:rPr>
              <w:t>本工程线路在设计</w:t>
            </w:r>
            <w:r>
              <w:rPr>
                <w:rFonts w:hint="eastAsia" w:ascii="Times New Roman" w:cs="Times New Roman"/>
                <w:color w:val="auto"/>
                <w:sz w:val="21"/>
                <w:szCs w:val="21"/>
                <w:lang w:eastAsia="zh-CN"/>
              </w:rPr>
              <w:t>及施工</w:t>
            </w:r>
            <w:r>
              <w:rPr>
                <w:rFonts w:hint="eastAsia" w:ascii="Times New Roman" w:hAnsi="Times New Roman" w:cs="Times New Roman"/>
                <w:color w:val="auto"/>
                <w:sz w:val="21"/>
                <w:szCs w:val="21"/>
                <w:lang w:eastAsia="zh-CN"/>
              </w:rPr>
              <w:t>时尽可能减少临时占地和在</w:t>
            </w:r>
            <w:r>
              <w:rPr>
                <w:rFonts w:hint="eastAsia" w:ascii="Times New Roman"/>
                <w:color w:val="auto"/>
                <w:sz w:val="21"/>
                <w:szCs w:val="21"/>
                <w:lang w:eastAsia="zh-CN"/>
              </w:rPr>
              <w:t>海南省生态保护红线区、</w:t>
            </w:r>
            <w:r>
              <w:rPr>
                <w:rFonts w:hint="eastAsia" w:ascii="Times New Roman" w:hAnsi="Times New Roman" w:cs="Times New Roman"/>
                <w:color w:val="auto"/>
                <w:sz w:val="21"/>
                <w:szCs w:val="21"/>
                <w:lang w:eastAsia="zh-CN"/>
              </w:rPr>
              <w:t>水源保护区</w:t>
            </w:r>
            <w:r>
              <w:rPr>
                <w:rFonts w:hint="eastAsia" w:ascii="Times New Roman" w:cs="Times New Roman"/>
                <w:color w:val="auto"/>
                <w:sz w:val="21"/>
                <w:szCs w:val="21"/>
                <w:lang w:eastAsia="zh-CN"/>
              </w:rPr>
              <w:t>、湿地公园和羊山湿地多用途管理内</w:t>
            </w:r>
            <w:r>
              <w:rPr>
                <w:rFonts w:hint="eastAsia" w:ascii="Times New Roman" w:hAnsi="Times New Roman" w:cs="Times New Roman"/>
                <w:color w:val="auto"/>
                <w:sz w:val="21"/>
                <w:szCs w:val="21"/>
                <w:lang w:eastAsia="zh-CN"/>
              </w:rPr>
              <w:t>的新建杆塔数量，并提出相应的环境保护措施和施工后生态恢复措施。在采取提出的环境保护措施和施工后生态恢复措施后，本工程选线具有环境可行性。</w:t>
            </w:r>
          </w:p>
          <w:p>
            <w:pPr>
              <w:pStyle w:val="23"/>
              <w:spacing w:line="360" w:lineRule="auto"/>
              <w:rPr>
                <w:rFonts w:hint="eastAsia" w:ascii="Times New Roman"/>
                <w:color w:val="auto"/>
                <w:sz w:val="21"/>
                <w:szCs w:val="21"/>
                <w:lang w:eastAsia="zh-CN"/>
              </w:rPr>
            </w:pPr>
            <w:r>
              <w:rPr>
                <w:rFonts w:hint="eastAsia" w:ascii="Times New Roman"/>
                <w:color w:val="auto"/>
                <w:sz w:val="21"/>
                <w:szCs w:val="21"/>
                <w:lang w:eastAsia="zh-CN"/>
              </w:rPr>
              <w:t>本工程</w:t>
            </w:r>
            <w:r>
              <w:rPr>
                <w:rFonts w:ascii="Times New Roman"/>
                <w:color w:val="auto"/>
                <w:sz w:val="21"/>
                <w:szCs w:val="21"/>
              </w:rPr>
              <w:t>线路综合协调了线路</w:t>
            </w:r>
            <w:r>
              <w:rPr>
                <w:rFonts w:hint="eastAsia" w:ascii="Times New Roman"/>
                <w:color w:val="auto"/>
                <w:sz w:val="21"/>
                <w:szCs w:val="21"/>
                <w:lang w:eastAsia="zh-CN"/>
              </w:rPr>
              <w:t>与沿线已建输电线路、高速公路、铁路、道路及其它设施之间的矛盾。线路路径方案征求了当地地方规划部门的意见，目前已经取得相关部门对本工程路径的书面同意。因此，本工程线路路径是合理的。</w:t>
            </w:r>
          </w:p>
          <w:p>
            <w:pPr>
              <w:pStyle w:val="53"/>
              <w:spacing w:line="360" w:lineRule="auto"/>
              <w:ind w:firstLine="0"/>
              <w:rPr>
                <w:rFonts w:ascii="Times New Roman"/>
                <w:b/>
                <w:color w:val="auto"/>
                <w:sz w:val="21"/>
                <w:szCs w:val="21"/>
              </w:rPr>
            </w:pPr>
            <w:r>
              <w:rPr>
                <w:rFonts w:ascii="Times New Roman"/>
                <w:b/>
                <w:color w:val="auto"/>
                <w:sz w:val="21"/>
                <w:szCs w:val="21"/>
              </w:rPr>
              <w:t>1.3.</w:t>
            </w:r>
            <w:r>
              <w:rPr>
                <w:rFonts w:hint="eastAsia" w:ascii="Times New Roman"/>
                <w:b/>
                <w:color w:val="auto"/>
                <w:sz w:val="21"/>
                <w:szCs w:val="21"/>
              </w:rPr>
              <w:t>5</w:t>
            </w:r>
            <w:r>
              <w:rPr>
                <w:rFonts w:ascii="Times New Roman"/>
                <w:b/>
                <w:color w:val="auto"/>
                <w:sz w:val="21"/>
                <w:szCs w:val="21"/>
              </w:rPr>
              <w:t xml:space="preserve"> </w:t>
            </w:r>
            <w:r>
              <w:rPr>
                <w:rFonts w:hint="eastAsia" w:ascii="Times New Roman"/>
                <w:b/>
                <w:color w:val="auto"/>
                <w:sz w:val="21"/>
                <w:szCs w:val="21"/>
              </w:rPr>
              <w:t>主要交叉跨越</w:t>
            </w:r>
          </w:p>
          <w:p>
            <w:pPr>
              <w:pStyle w:val="23"/>
              <w:spacing w:line="360" w:lineRule="auto"/>
              <w:rPr>
                <w:rFonts w:ascii="Times New Roman"/>
                <w:color w:val="auto"/>
                <w:sz w:val="21"/>
                <w:szCs w:val="21"/>
              </w:rPr>
            </w:pPr>
            <w:r>
              <w:rPr>
                <w:rFonts w:hint="eastAsia" w:ascii="Times New Roman"/>
                <w:color w:val="auto"/>
                <w:sz w:val="21"/>
                <w:szCs w:val="21"/>
              </w:rPr>
              <w:t>本工程新建线路跨越海南东环高铁1次，海文高速1次</w:t>
            </w:r>
            <w:r>
              <w:rPr>
                <w:rFonts w:hint="eastAsia" w:ascii="Times New Roman"/>
                <w:color w:val="auto"/>
                <w:sz w:val="21"/>
                <w:szCs w:val="21"/>
                <w:lang w:eastAsia="zh-CN"/>
              </w:rPr>
              <w:t>，</w:t>
            </w:r>
            <w:r>
              <w:rPr>
                <w:rFonts w:hint="eastAsia" w:ascii="Times New Roman"/>
                <w:color w:val="auto"/>
                <w:sz w:val="21"/>
                <w:szCs w:val="21"/>
              </w:rPr>
              <w:t>海口绕城高速1次</w:t>
            </w:r>
            <w:r>
              <w:rPr>
                <w:rFonts w:hint="eastAsia" w:ascii="Times New Roman"/>
                <w:color w:val="auto"/>
                <w:sz w:val="21"/>
                <w:szCs w:val="21"/>
                <w:lang w:eastAsia="zh-CN"/>
              </w:rPr>
              <w:t>，</w:t>
            </w:r>
            <w:r>
              <w:rPr>
                <w:rFonts w:hint="eastAsia" w:ascii="Times New Roman"/>
                <w:color w:val="auto"/>
                <w:sz w:val="21"/>
                <w:szCs w:val="21"/>
              </w:rPr>
              <w:t>G223</w:t>
            </w:r>
            <w:r>
              <w:rPr>
                <w:rFonts w:hint="eastAsia" w:ascii="Times New Roman"/>
                <w:color w:val="auto"/>
                <w:sz w:val="21"/>
                <w:szCs w:val="21"/>
                <w:lang w:eastAsia="zh-CN"/>
              </w:rPr>
              <w:t>国</w:t>
            </w:r>
            <w:r>
              <w:rPr>
                <w:rFonts w:hint="eastAsia" w:ascii="Times New Roman"/>
                <w:color w:val="auto"/>
                <w:sz w:val="21"/>
                <w:szCs w:val="21"/>
              </w:rPr>
              <w:t>道2次，S202省道2次，</w:t>
            </w:r>
            <w:r>
              <w:rPr>
                <w:rFonts w:hint="eastAsia" w:ascii="Times New Roman"/>
                <w:color w:val="auto"/>
                <w:sz w:val="21"/>
                <w:szCs w:val="21"/>
                <w:lang w:eastAsia="zh-CN"/>
              </w:rPr>
              <w:t>县</w:t>
            </w:r>
            <w:r>
              <w:rPr>
                <w:rFonts w:hint="eastAsia" w:ascii="Times New Roman"/>
                <w:color w:val="auto"/>
                <w:sz w:val="21"/>
                <w:szCs w:val="21"/>
              </w:rPr>
              <w:t>道2次，</w:t>
            </w:r>
            <w:r>
              <w:rPr>
                <w:rFonts w:hint="eastAsia" w:ascii="Times New Roman"/>
                <w:color w:val="auto"/>
                <w:sz w:val="21"/>
                <w:szCs w:val="21"/>
                <w:lang w:eastAsia="zh-CN"/>
              </w:rPr>
              <w:t>跨越</w:t>
            </w:r>
            <w:r>
              <w:rPr>
                <w:rFonts w:hint="eastAsia" w:ascii="Times New Roman"/>
                <w:color w:val="auto"/>
                <w:sz w:val="21"/>
                <w:szCs w:val="21"/>
              </w:rPr>
              <w:t>220kV线路2次，跨越</w:t>
            </w:r>
            <w:r>
              <w:rPr>
                <w:rFonts w:ascii="Times New Roman"/>
                <w:color w:val="auto"/>
                <w:sz w:val="21"/>
                <w:szCs w:val="21"/>
              </w:rPr>
              <w:t xml:space="preserve">110kV </w:t>
            </w:r>
            <w:r>
              <w:rPr>
                <w:rFonts w:hint="eastAsia" w:ascii="Times New Roman"/>
                <w:color w:val="auto"/>
                <w:sz w:val="21"/>
                <w:szCs w:val="21"/>
              </w:rPr>
              <w:t>线路</w:t>
            </w:r>
            <w:r>
              <w:rPr>
                <w:rFonts w:hint="eastAsia" w:ascii="Times New Roman"/>
                <w:color w:val="auto"/>
                <w:sz w:val="21"/>
                <w:szCs w:val="21"/>
                <w:lang w:val="en-US" w:eastAsia="zh-CN"/>
              </w:rPr>
              <w:t>13</w:t>
            </w:r>
            <w:r>
              <w:rPr>
                <w:rFonts w:ascii="Times New Roman"/>
                <w:color w:val="auto"/>
                <w:sz w:val="21"/>
                <w:szCs w:val="21"/>
              </w:rPr>
              <w:t xml:space="preserve"> </w:t>
            </w:r>
            <w:r>
              <w:rPr>
                <w:rFonts w:hint="eastAsia" w:ascii="Times New Roman"/>
                <w:color w:val="auto"/>
                <w:sz w:val="21"/>
                <w:szCs w:val="21"/>
              </w:rPr>
              <w:t>次</w:t>
            </w:r>
            <w:r>
              <w:rPr>
                <w:rFonts w:hint="eastAsia" w:ascii="Times New Roman"/>
                <w:color w:val="auto"/>
                <w:sz w:val="21"/>
                <w:szCs w:val="21"/>
                <w:lang w:eastAsia="zh-CN"/>
              </w:rPr>
              <w:t>，</w:t>
            </w:r>
            <w:r>
              <w:rPr>
                <w:rFonts w:hint="eastAsia" w:ascii="Times New Roman"/>
                <w:color w:val="auto"/>
                <w:sz w:val="21"/>
                <w:szCs w:val="21"/>
              </w:rPr>
              <w:t>跨越</w:t>
            </w:r>
            <w:r>
              <w:rPr>
                <w:rFonts w:hint="eastAsia" w:ascii="Times New Roman"/>
                <w:color w:val="auto"/>
                <w:sz w:val="21"/>
                <w:szCs w:val="21"/>
                <w:lang w:val="en-US" w:eastAsia="zh-CN"/>
              </w:rPr>
              <w:t>35</w:t>
            </w:r>
            <w:r>
              <w:rPr>
                <w:rFonts w:ascii="Times New Roman"/>
                <w:color w:val="auto"/>
                <w:sz w:val="21"/>
                <w:szCs w:val="21"/>
              </w:rPr>
              <w:t xml:space="preserve">kV </w:t>
            </w:r>
            <w:r>
              <w:rPr>
                <w:rFonts w:hint="eastAsia" w:ascii="Times New Roman"/>
                <w:color w:val="auto"/>
                <w:sz w:val="21"/>
                <w:szCs w:val="21"/>
              </w:rPr>
              <w:t>线路</w:t>
            </w:r>
            <w:r>
              <w:rPr>
                <w:rFonts w:hint="eastAsia" w:ascii="Times New Roman"/>
                <w:color w:val="auto"/>
                <w:sz w:val="21"/>
                <w:szCs w:val="21"/>
                <w:lang w:val="en-US" w:eastAsia="zh-CN"/>
              </w:rPr>
              <w:t>2</w:t>
            </w:r>
            <w:r>
              <w:rPr>
                <w:rFonts w:hint="eastAsia" w:ascii="Times New Roman"/>
                <w:color w:val="auto"/>
                <w:sz w:val="21"/>
                <w:szCs w:val="21"/>
              </w:rPr>
              <w:t>次。</w:t>
            </w:r>
          </w:p>
          <w:p>
            <w:pPr>
              <w:spacing w:line="360" w:lineRule="auto"/>
              <w:jc w:val="left"/>
              <w:rPr>
                <w:rFonts w:hint="eastAsia" w:ascii="Times New Roman" w:hAnsi="Times New Roman"/>
                <w:b/>
                <w:color w:val="auto"/>
              </w:rPr>
            </w:pPr>
            <w:r>
              <w:rPr>
                <w:rFonts w:hint="eastAsia" w:ascii="Times New Roman" w:hAnsi="Times New Roman"/>
                <w:b/>
                <w:color w:val="auto"/>
              </w:rPr>
              <w:t>1.3.6线路牵张场设置及数量</w:t>
            </w:r>
          </w:p>
          <w:p>
            <w:pPr>
              <w:spacing w:line="360" w:lineRule="auto"/>
              <w:ind w:firstLine="420" w:firstLineChars="200"/>
              <w:jc w:val="left"/>
              <w:rPr>
                <w:rFonts w:hint="eastAsia" w:ascii="Times New Roman" w:hAnsi="Times New Roman"/>
                <w:color w:val="auto"/>
              </w:rPr>
            </w:pPr>
            <w:r>
              <w:rPr>
                <w:rFonts w:hint="eastAsia" w:ascii="Times New Roman" w:hAnsi="Times New Roman"/>
                <w:color w:val="auto"/>
              </w:rPr>
              <w:t>本工程结合沿线实际情况，设置牵张场</w:t>
            </w:r>
            <w:r>
              <w:rPr>
                <w:rFonts w:hint="eastAsia" w:ascii="Times New Roman" w:hAnsi="Times New Roman"/>
                <w:color w:val="auto"/>
                <w:lang w:val="en-US" w:eastAsia="zh-CN"/>
              </w:rPr>
              <w:t>10</w:t>
            </w:r>
            <w:r>
              <w:rPr>
                <w:rFonts w:hint="eastAsia" w:ascii="Times New Roman" w:hAnsi="Times New Roman"/>
                <w:color w:val="auto"/>
              </w:rPr>
              <w:t>处，占地面积约为</w:t>
            </w:r>
            <w:r>
              <w:rPr>
                <w:rFonts w:hint="eastAsia" w:ascii="Times New Roman" w:hAnsi="Times New Roman"/>
                <w:color w:val="auto"/>
                <w:lang w:val="en-US" w:eastAsia="zh-CN"/>
              </w:rPr>
              <w:t>20</w:t>
            </w:r>
            <w:r>
              <w:rPr>
                <w:rFonts w:ascii="Times New Roman" w:hAnsi="Times New Roman"/>
                <w:color w:val="auto"/>
              </w:rPr>
              <w:t>00m</w:t>
            </w:r>
            <w:r>
              <w:rPr>
                <w:rFonts w:ascii="Times New Roman" w:hAnsi="Times New Roman"/>
                <w:color w:val="auto"/>
                <w:vertAlign w:val="superscript"/>
              </w:rPr>
              <w:t>2</w:t>
            </w:r>
            <w:r>
              <w:rPr>
                <w:rFonts w:hint="eastAsia" w:ascii="Times New Roman" w:hAnsi="Times New Roman"/>
                <w:color w:val="auto"/>
              </w:rPr>
              <w:t>。</w:t>
            </w:r>
          </w:p>
          <w:p>
            <w:pPr>
              <w:pStyle w:val="55"/>
              <w:numPr>
                <w:ilvl w:val="0"/>
                <w:numId w:val="0"/>
              </w:numPr>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1.3.7</w:t>
            </w:r>
            <w:r>
              <w:rPr>
                <w:rFonts w:hint="eastAsia" w:ascii="Times New Roman" w:hAnsi="Times New Roman" w:cs="Times New Roman"/>
                <w:b/>
                <w:color w:val="auto"/>
                <w:kern w:val="2"/>
                <w:sz w:val="21"/>
                <w:szCs w:val="21"/>
                <w:lang w:val="en-US" w:eastAsia="zh-CN" w:bidi="ar-SA"/>
              </w:rPr>
              <w:t>线路</w:t>
            </w:r>
            <w:r>
              <w:rPr>
                <w:rFonts w:hint="eastAsia" w:ascii="Times New Roman" w:hAnsi="Times New Roman" w:eastAsia="宋体" w:cs="Times New Roman"/>
                <w:b/>
                <w:color w:val="auto"/>
                <w:kern w:val="2"/>
                <w:sz w:val="21"/>
                <w:szCs w:val="21"/>
                <w:lang w:val="en-US" w:eastAsia="zh-CN" w:bidi="ar-SA"/>
              </w:rPr>
              <w:t>占地及土石方量</w:t>
            </w:r>
          </w:p>
          <w:p>
            <w:pPr>
              <w:spacing w:line="360" w:lineRule="auto"/>
              <w:ind w:firstLine="420"/>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eastAsia="zh-CN"/>
              </w:rPr>
              <w:t>本工程线路</w:t>
            </w:r>
            <w:r>
              <w:rPr>
                <w:rFonts w:hint="eastAsia" w:ascii="Times New Roman" w:hAnsi="Times New Roman" w:cs="Times New Roman"/>
                <w:color w:val="auto"/>
                <w:szCs w:val="21"/>
              </w:rPr>
              <w:t>塔基永久占地面积约</w:t>
            </w:r>
            <w:r>
              <w:rPr>
                <w:rFonts w:hint="eastAsia" w:ascii="Times New Roman" w:hAnsi="Times New Roman" w:cs="Times New Roman"/>
                <w:color w:val="auto"/>
                <w:szCs w:val="21"/>
                <w:lang w:val="en-US" w:eastAsia="zh-CN"/>
              </w:rPr>
              <w:t>1320</w:t>
            </w:r>
            <w:r>
              <w:rPr>
                <w:rFonts w:hint="eastAsia" w:ascii="Times New Roman" w:hAnsi="Times New Roman" w:cs="Times New Roman"/>
                <w:color w:val="auto"/>
                <w:szCs w:val="21"/>
              </w:rPr>
              <w:t>0m</w:t>
            </w:r>
            <w:r>
              <w:rPr>
                <w:rFonts w:hint="eastAsia" w:ascii="Times New Roman" w:hAnsi="Times New Roman" w:cs="Times New Roman"/>
                <w:color w:val="auto"/>
                <w:szCs w:val="21"/>
                <w:vertAlign w:val="superscript"/>
              </w:rPr>
              <w:t>2</w:t>
            </w:r>
            <w:r>
              <w:rPr>
                <w:rFonts w:hint="eastAsia" w:ascii="Times New Roman" w:hAnsi="Times New Roman" w:cs="Times New Roman"/>
                <w:color w:val="auto"/>
                <w:szCs w:val="21"/>
              </w:rPr>
              <w:t>，临时占地（塔基施工材料堆放场及施工作业面、塔基临时堆土、牵张场等）面积约73013.3m</w:t>
            </w:r>
            <w:r>
              <w:rPr>
                <w:rFonts w:hint="eastAsia" w:ascii="Times New Roman" w:hAnsi="Times New Roman" w:cs="Times New Roman"/>
                <w:color w:val="auto"/>
                <w:szCs w:val="21"/>
                <w:vertAlign w:val="superscript"/>
              </w:rPr>
              <w:t>2</w:t>
            </w:r>
            <w:r>
              <w:rPr>
                <w:rFonts w:hint="eastAsia" w:ascii="Times New Roman" w:hAnsi="Times New Roman" w:cs="Times New Roman"/>
                <w:color w:val="auto"/>
                <w:szCs w:val="21"/>
              </w:rPr>
              <w:t>。</w:t>
            </w:r>
          </w:p>
          <w:p>
            <w:pPr>
              <w:spacing w:line="360" w:lineRule="auto"/>
              <w:ind w:firstLine="420"/>
              <w:rPr>
                <w:rFonts w:hint="eastAsia"/>
                <w:color w:val="auto"/>
              </w:rPr>
            </w:pPr>
            <w:r>
              <w:rPr>
                <w:rFonts w:hint="eastAsia" w:ascii="Times New Roman" w:hAnsi="Times New Roman" w:cs="Times New Roman"/>
                <w:color w:val="auto"/>
                <w:szCs w:val="21"/>
              </w:rPr>
              <w:t>本工程不设弃渣场，</w:t>
            </w:r>
            <w:r>
              <w:rPr>
                <w:rFonts w:hint="eastAsia" w:ascii="Times New Roman" w:hAnsi="Times New Roman" w:cs="Times New Roman"/>
                <w:color w:val="auto"/>
                <w:szCs w:val="21"/>
                <w:lang w:eastAsia="zh-CN"/>
              </w:rPr>
              <w:t>线路</w:t>
            </w:r>
            <w:r>
              <w:rPr>
                <w:rFonts w:hint="eastAsia" w:ascii="Times New Roman" w:hAnsi="Times New Roman" w:cs="Times New Roman"/>
                <w:color w:val="auto"/>
                <w:szCs w:val="21"/>
              </w:rPr>
              <w:t>塔基区共产生挖方量</w:t>
            </w:r>
            <w:r>
              <w:rPr>
                <w:rFonts w:hint="eastAsia" w:cs="Times New Roman"/>
                <w:color w:val="auto"/>
                <w:szCs w:val="21"/>
                <w:lang w:eastAsia="zh-CN"/>
              </w:rPr>
              <w:t>约</w:t>
            </w:r>
            <w:r>
              <w:rPr>
                <w:rFonts w:hint="eastAsia" w:ascii="Times New Roman" w:hAnsi="Times New Roman" w:cs="Times New Roman"/>
                <w:color w:val="auto"/>
                <w:szCs w:val="21"/>
                <w:lang w:val="en-US" w:eastAsia="zh-CN"/>
              </w:rPr>
              <w:t>90299.07</w:t>
            </w:r>
            <w:r>
              <w:rPr>
                <w:rFonts w:hint="eastAsia" w:ascii="Times New Roman" w:hAnsi="Times New Roman" w:cs="Times New Roman"/>
                <w:color w:val="auto"/>
                <w:szCs w:val="21"/>
              </w:rPr>
              <w:t>m</w:t>
            </w:r>
            <w:r>
              <w:rPr>
                <w:rFonts w:hint="eastAsia" w:ascii="Times New Roman" w:hAnsi="Times New Roman" w:cs="Times New Roman"/>
                <w:color w:val="auto"/>
                <w:szCs w:val="21"/>
                <w:vertAlign w:val="superscript"/>
              </w:rPr>
              <w:t>3</w:t>
            </w:r>
            <w:r>
              <w:rPr>
                <w:rFonts w:hint="eastAsia" w:ascii="Times New Roman" w:hAnsi="Times New Roman" w:cs="Times New Roman"/>
                <w:color w:val="auto"/>
                <w:szCs w:val="21"/>
              </w:rPr>
              <w:t>，</w:t>
            </w:r>
            <w:r>
              <w:rPr>
                <w:rFonts w:hint="eastAsia" w:ascii="Times New Roman" w:hAnsi="Times New Roman" w:cs="Times New Roman"/>
                <w:color w:val="auto"/>
                <w:szCs w:val="21"/>
                <w:lang w:eastAsia="zh-CN"/>
              </w:rPr>
              <w:t>工程</w:t>
            </w:r>
            <w:r>
              <w:rPr>
                <w:rFonts w:hint="eastAsia" w:ascii="Times New Roman" w:hAnsi="Times New Roman" w:cs="Times New Roman"/>
                <w:color w:val="auto"/>
                <w:szCs w:val="21"/>
              </w:rPr>
              <w:t>产生的土石方量可全部用于回填，不产生弃渣</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rPr>
              <w:t>开挖时的表土分别临时堆存于场地一角，施工结束后用作牵张场</w:t>
            </w:r>
            <w:r>
              <w:rPr>
                <w:rFonts w:hint="eastAsia" w:ascii="Times New Roman" w:hAnsi="Times New Roman" w:cs="Times New Roman"/>
                <w:color w:val="auto"/>
                <w:szCs w:val="21"/>
                <w:lang w:eastAsia="zh-CN"/>
              </w:rPr>
              <w:t>等</w:t>
            </w:r>
            <w:r>
              <w:rPr>
                <w:rFonts w:hint="eastAsia" w:ascii="Times New Roman" w:hAnsi="Times New Roman" w:cs="Times New Roman"/>
                <w:color w:val="auto"/>
                <w:szCs w:val="21"/>
              </w:rPr>
              <w:t>施工迹地的绿化覆土。</w:t>
            </w:r>
          </w:p>
          <w:p>
            <w:pPr>
              <w:spacing w:before="156" w:beforeLines="50" w:line="360" w:lineRule="auto"/>
              <w:outlineLvl w:val="1"/>
              <w:rPr>
                <w:rFonts w:ascii="Times New Roman" w:hAnsi="Times New Roman"/>
                <w:b/>
                <w:color w:val="auto"/>
                <w:sz w:val="24"/>
                <w:szCs w:val="24"/>
              </w:rPr>
            </w:pPr>
            <w:r>
              <w:rPr>
                <w:rFonts w:ascii="Times New Roman" w:hAnsi="Times New Roman"/>
                <w:b/>
                <w:color w:val="auto"/>
                <w:sz w:val="24"/>
                <w:szCs w:val="24"/>
              </w:rPr>
              <w:t>1.</w:t>
            </w:r>
            <w:r>
              <w:rPr>
                <w:rFonts w:hint="eastAsia" w:ascii="Times New Roman" w:hAnsi="Times New Roman"/>
                <w:b/>
                <w:color w:val="auto"/>
                <w:sz w:val="24"/>
                <w:szCs w:val="24"/>
                <w:lang w:val="en-US" w:eastAsia="zh-CN"/>
              </w:rPr>
              <w:t>4</w:t>
            </w:r>
            <w:r>
              <w:rPr>
                <w:rFonts w:ascii="Times New Roman" w:hAnsi="Times New Roman"/>
                <w:b/>
                <w:color w:val="auto"/>
                <w:sz w:val="24"/>
                <w:szCs w:val="24"/>
              </w:rPr>
              <w:t>工程建设的环保设施</w:t>
            </w:r>
          </w:p>
          <w:p>
            <w:pPr>
              <w:spacing w:line="360" w:lineRule="auto"/>
              <w:ind w:firstLine="420" w:firstLineChars="200"/>
              <w:rPr>
                <w:color w:val="auto"/>
              </w:rPr>
            </w:pPr>
            <w:r>
              <w:rPr>
                <w:rFonts w:ascii="Times New Roman" w:hAnsi="Times New Roman"/>
                <w:color w:val="auto"/>
              </w:rPr>
              <w:t>本工程的总投资为</w:t>
            </w:r>
            <w:r>
              <w:rPr>
                <w:rFonts w:hint="eastAsia" w:ascii="Times New Roman" w:hAnsi="Times New Roman"/>
                <w:color w:val="auto"/>
                <w:lang w:val="en-US" w:eastAsia="zh-CN"/>
              </w:rPr>
              <w:t>17948.46</w:t>
            </w:r>
            <w:r>
              <w:rPr>
                <w:rFonts w:ascii="Times New Roman" w:hAnsi="Times New Roman"/>
                <w:color w:val="auto"/>
              </w:rPr>
              <w:t>万元，其中环保投资约</w:t>
            </w:r>
            <w:r>
              <w:rPr>
                <w:rFonts w:hint="eastAsia" w:ascii="Times New Roman" w:hAnsi="Times New Roman"/>
                <w:color w:val="auto"/>
                <w:lang w:val="en-US" w:eastAsia="zh-CN"/>
              </w:rPr>
              <w:t>288</w:t>
            </w:r>
            <w:r>
              <w:rPr>
                <w:rFonts w:ascii="Times New Roman" w:hAnsi="Times New Roman"/>
                <w:color w:val="auto"/>
              </w:rPr>
              <w:t>万元，占总投资额的</w:t>
            </w:r>
            <w:r>
              <w:rPr>
                <w:rFonts w:hint="eastAsia" w:ascii="Times New Roman" w:hAnsi="Times New Roman"/>
                <w:color w:val="auto"/>
              </w:rPr>
              <w:t>1.</w:t>
            </w:r>
            <w:r>
              <w:rPr>
                <w:rFonts w:hint="eastAsia" w:ascii="Times New Roman" w:hAnsi="Times New Roman"/>
                <w:color w:val="auto"/>
                <w:lang w:val="en-US" w:eastAsia="zh-CN"/>
              </w:rPr>
              <w:t>6</w:t>
            </w:r>
            <w:r>
              <w:rPr>
                <w:rFonts w:ascii="Times New Roman" w:hAnsi="Times New Roman"/>
                <w:color w:val="auto"/>
              </w:rPr>
              <w:t>%。环保投资明细见下表：</w:t>
            </w:r>
          </w:p>
          <w:p>
            <w:pPr>
              <w:jc w:val="center"/>
              <w:rPr>
                <w:rFonts w:ascii="Times New Roman" w:hAnsi="Times New Roman"/>
                <w:b/>
                <w:color w:val="auto"/>
              </w:rPr>
            </w:pPr>
            <w:r>
              <w:rPr>
                <w:rFonts w:ascii="Times New Roman" w:hAnsi="Times New Roman"/>
                <w:b/>
                <w:color w:val="auto"/>
              </w:rPr>
              <w:t>表1-</w:t>
            </w:r>
            <w:r>
              <w:rPr>
                <w:rFonts w:hint="eastAsia" w:ascii="Times New Roman" w:hAnsi="Times New Roman"/>
                <w:b/>
                <w:color w:val="auto"/>
                <w:lang w:val="en-US" w:eastAsia="zh-CN"/>
              </w:rPr>
              <w:t>9</w:t>
            </w:r>
            <w:r>
              <w:rPr>
                <w:rFonts w:ascii="Times New Roman" w:hAnsi="Times New Roman"/>
                <w:b/>
                <w:color w:val="auto"/>
              </w:rPr>
              <w:t xml:space="preserve"> </w:t>
            </w:r>
            <w:r>
              <w:rPr>
                <w:rFonts w:ascii="Times New Roman" w:hAnsi="Times New Roman"/>
                <w:b/>
                <w:bCs/>
                <w:color w:val="auto"/>
              </w:rPr>
              <w:t>工程</w:t>
            </w:r>
            <w:r>
              <w:rPr>
                <w:rFonts w:ascii="Times New Roman" w:hAnsi="Times New Roman"/>
                <w:b/>
                <w:color w:val="auto"/>
              </w:rPr>
              <w:t>环保投资一览表</w:t>
            </w:r>
          </w:p>
          <w:tbl>
            <w:tblPr>
              <w:tblStyle w:val="50"/>
              <w:tblW w:w="80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2160"/>
              <w:gridCol w:w="1080"/>
              <w:gridCol w:w="1503"/>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795" w:type="dxa"/>
                  <w:vAlign w:val="center"/>
                </w:tcPr>
                <w:p>
                  <w:pPr>
                    <w:jc w:val="center"/>
                    <w:rPr>
                      <w:rFonts w:hint="eastAsia" w:ascii="Times New Roman" w:hAnsi="Times New Roman"/>
                      <w:color w:val="auto"/>
                    </w:rPr>
                  </w:pPr>
                  <w:r>
                    <w:rPr>
                      <w:rFonts w:hint="eastAsia" w:ascii="Times New Roman" w:hAnsi="Times New Roman"/>
                      <w:color w:val="auto"/>
                    </w:rPr>
                    <w:t>工程名称</w:t>
                  </w:r>
                </w:p>
              </w:tc>
              <w:tc>
                <w:tcPr>
                  <w:tcW w:w="2160" w:type="dxa"/>
                  <w:vAlign w:val="center"/>
                </w:tcPr>
                <w:p>
                  <w:pPr>
                    <w:jc w:val="center"/>
                    <w:rPr>
                      <w:rFonts w:hint="eastAsia" w:ascii="Times New Roman" w:hAnsi="Times New Roman"/>
                      <w:color w:val="auto"/>
                    </w:rPr>
                  </w:pPr>
                  <w:r>
                    <w:rPr>
                      <w:rFonts w:hint="eastAsia" w:ascii="Times New Roman" w:hAnsi="Times New Roman"/>
                      <w:color w:val="auto"/>
                    </w:rPr>
                    <w:t>环保措施</w:t>
                  </w:r>
                </w:p>
              </w:tc>
              <w:tc>
                <w:tcPr>
                  <w:tcW w:w="1080" w:type="dxa"/>
                  <w:vAlign w:val="center"/>
                </w:tcPr>
                <w:p>
                  <w:pPr>
                    <w:jc w:val="center"/>
                    <w:rPr>
                      <w:rFonts w:hint="eastAsia" w:ascii="Times New Roman" w:hAnsi="Times New Roman"/>
                      <w:color w:val="auto"/>
                    </w:rPr>
                  </w:pPr>
                  <w:r>
                    <w:rPr>
                      <w:rFonts w:hint="eastAsia" w:ascii="Times New Roman" w:hAnsi="Times New Roman"/>
                      <w:color w:val="auto"/>
                    </w:rPr>
                    <w:t>环保投资（万元）</w:t>
                  </w:r>
                </w:p>
              </w:tc>
              <w:tc>
                <w:tcPr>
                  <w:tcW w:w="1503" w:type="dxa"/>
                  <w:vAlign w:val="center"/>
                </w:tcPr>
                <w:p>
                  <w:pPr>
                    <w:jc w:val="center"/>
                    <w:rPr>
                      <w:rFonts w:hint="eastAsia" w:ascii="Times New Roman" w:hAnsi="Times New Roman"/>
                      <w:color w:val="auto"/>
                    </w:rPr>
                  </w:pPr>
                  <w:r>
                    <w:rPr>
                      <w:rFonts w:hint="eastAsia" w:ascii="Times New Roman" w:hAnsi="Times New Roman"/>
                      <w:color w:val="auto"/>
                    </w:rPr>
                    <w:t>处理效果</w:t>
                  </w:r>
                </w:p>
              </w:tc>
              <w:tc>
                <w:tcPr>
                  <w:tcW w:w="1557" w:type="dxa"/>
                  <w:vAlign w:val="center"/>
                </w:tcPr>
                <w:p>
                  <w:pPr>
                    <w:jc w:val="center"/>
                    <w:rPr>
                      <w:rFonts w:hint="eastAsia" w:ascii="Times New Roman" w:hAnsi="Times New Roman"/>
                      <w:color w:val="auto"/>
                    </w:rPr>
                  </w:pPr>
                  <w:r>
                    <w:rPr>
                      <w:rFonts w:hint="eastAsia" w:ascii="Times New Roman" w:hAnsi="Times New Roman"/>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795" w:type="dxa"/>
                  <w:vMerge w:val="restart"/>
                  <w:vAlign w:val="center"/>
                </w:tcPr>
                <w:p>
                  <w:pPr>
                    <w:jc w:val="center"/>
                    <w:rPr>
                      <w:rFonts w:hint="eastAsia" w:ascii="Times New Roman" w:hAnsi="Times New Roman"/>
                      <w:color w:val="auto"/>
                    </w:rPr>
                  </w:pPr>
                  <w:r>
                    <w:rPr>
                      <w:rFonts w:hint="eastAsia" w:ascii="Times New Roman" w:hAnsi="Times New Roman"/>
                      <w:color w:val="auto"/>
                    </w:rPr>
                    <w:t>文昌气电π接220kV玉洲至江东线路</w:t>
                  </w:r>
                  <w:r>
                    <w:rPr>
                      <w:rFonts w:hint="eastAsia" w:ascii="Times New Roman"/>
                      <w:color w:val="auto"/>
                    </w:rPr>
                    <w:t>新建工程</w:t>
                  </w:r>
                </w:p>
              </w:tc>
              <w:tc>
                <w:tcPr>
                  <w:tcW w:w="2160" w:type="dxa"/>
                  <w:vAlign w:val="center"/>
                </w:tcPr>
                <w:p>
                  <w:pPr>
                    <w:jc w:val="center"/>
                    <w:rPr>
                      <w:rFonts w:hint="eastAsia" w:ascii="Times New Roman" w:hAnsi="Times New Roman"/>
                      <w:color w:val="auto"/>
                    </w:rPr>
                  </w:pPr>
                  <w:r>
                    <w:rPr>
                      <w:rFonts w:hint="eastAsia" w:ascii="Times New Roman" w:hAnsi="Times New Roman"/>
                      <w:color w:val="auto"/>
                    </w:rPr>
                    <w:t>输电线路沿线</w:t>
                  </w:r>
                  <w:r>
                    <w:rPr>
                      <w:rFonts w:ascii="Times New Roman" w:hAnsi="Times New Roman"/>
                      <w:color w:val="auto"/>
                    </w:rPr>
                    <w:t>护坡、挡土墙、植被恢复</w:t>
                  </w:r>
                  <w:r>
                    <w:rPr>
                      <w:rFonts w:hint="eastAsia" w:ascii="Times New Roman" w:hAnsi="Times New Roman"/>
                      <w:color w:val="auto"/>
                    </w:rPr>
                    <w:t>等</w:t>
                  </w:r>
                </w:p>
              </w:tc>
              <w:tc>
                <w:tcPr>
                  <w:tcW w:w="1080" w:type="dxa"/>
                  <w:vAlign w:val="center"/>
                </w:tcPr>
                <w:p>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180</w:t>
                  </w:r>
                </w:p>
              </w:tc>
              <w:tc>
                <w:tcPr>
                  <w:tcW w:w="1503" w:type="dxa"/>
                  <w:vAlign w:val="center"/>
                </w:tcPr>
                <w:p>
                  <w:pPr>
                    <w:jc w:val="center"/>
                    <w:rPr>
                      <w:rFonts w:hint="eastAsia" w:ascii="Times New Roman" w:hAnsi="Times New Roman"/>
                      <w:color w:val="auto"/>
                    </w:rPr>
                  </w:pPr>
                  <w:r>
                    <w:rPr>
                      <w:rFonts w:hint="eastAsia" w:ascii="Times New Roman" w:hAnsi="Times New Roman"/>
                      <w:color w:val="auto"/>
                    </w:rPr>
                    <w:t>减少塔基施工时的水土流失</w:t>
                  </w:r>
                </w:p>
              </w:tc>
              <w:tc>
                <w:tcPr>
                  <w:tcW w:w="1557" w:type="dxa"/>
                  <w:vAlign w:val="center"/>
                </w:tcPr>
                <w:p>
                  <w:pPr>
                    <w:jc w:val="center"/>
                    <w:rPr>
                      <w:rFonts w:hint="eastAsia" w:ascii="Times New Roman" w:hAnsi="Times New Roman"/>
                      <w:color w:val="auto"/>
                    </w:rPr>
                  </w:pPr>
                  <w:r>
                    <w:rPr>
                      <w:rFonts w:hint="eastAsia" w:ascii="Times New Roman" w:hAnsi="Times New Roman"/>
                      <w:color w:val="auto"/>
                    </w:rPr>
                    <w:t>保护生态环境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795" w:type="dxa"/>
                  <w:vMerge w:val="continue"/>
                  <w:vAlign w:val="center"/>
                </w:tcPr>
                <w:p>
                  <w:pPr>
                    <w:jc w:val="center"/>
                    <w:rPr>
                      <w:rFonts w:hint="eastAsia" w:ascii="Times New Roman" w:hAnsi="Times New Roman"/>
                      <w:color w:val="auto"/>
                    </w:rPr>
                  </w:pPr>
                </w:p>
              </w:tc>
              <w:tc>
                <w:tcPr>
                  <w:tcW w:w="2160" w:type="dxa"/>
                  <w:vAlign w:val="center"/>
                </w:tcPr>
                <w:p>
                  <w:pPr>
                    <w:jc w:val="center"/>
                    <w:rPr>
                      <w:rFonts w:hint="eastAsia" w:ascii="Times New Roman" w:hAnsi="Times New Roman"/>
                      <w:color w:val="auto"/>
                    </w:rPr>
                  </w:pPr>
                  <w:r>
                    <w:rPr>
                      <w:rFonts w:hint="eastAsia" w:hAnsi="宋体" w:eastAsia="宋体"/>
                      <w:color w:val="auto"/>
                      <w:szCs w:val="21"/>
                    </w:rPr>
                    <w:t>牵张场等临时占地</w:t>
                  </w:r>
                </w:p>
              </w:tc>
              <w:tc>
                <w:tcPr>
                  <w:tcW w:w="1080" w:type="dxa"/>
                  <w:vAlign w:val="center"/>
                </w:tcPr>
                <w:p>
                  <w:pPr>
                    <w:jc w:val="center"/>
                    <w:rPr>
                      <w:rFonts w:hint="default" w:ascii="Times New Roman" w:hAnsi="Times New Roman"/>
                      <w:color w:val="auto"/>
                      <w:lang w:val="en-US" w:eastAsia="zh-CN"/>
                    </w:rPr>
                  </w:pPr>
                  <w:r>
                    <w:rPr>
                      <w:rFonts w:hint="eastAsia" w:ascii="Times New Roman" w:hAnsi="Times New Roman"/>
                      <w:color w:val="auto"/>
                      <w:lang w:val="en-US" w:eastAsia="zh-CN"/>
                    </w:rPr>
                    <w:t>72</w:t>
                  </w:r>
                </w:p>
              </w:tc>
              <w:tc>
                <w:tcPr>
                  <w:tcW w:w="1503" w:type="dxa"/>
                  <w:vAlign w:val="center"/>
                </w:tcPr>
                <w:p>
                  <w:pPr>
                    <w:jc w:val="center"/>
                    <w:rPr>
                      <w:rFonts w:hint="eastAsia" w:ascii="Times New Roman" w:hAnsi="Times New Roman" w:eastAsia="宋体"/>
                      <w:color w:val="auto"/>
                      <w:lang w:eastAsia="zh-CN"/>
                    </w:rPr>
                  </w:pPr>
                  <w:r>
                    <w:rPr>
                      <w:rFonts w:hint="eastAsia" w:ascii="Times New Roman" w:hAnsi="Times New Roman"/>
                      <w:color w:val="auto"/>
                      <w:lang w:eastAsia="zh-CN"/>
                    </w:rPr>
                    <w:t>恢复原有地貌</w:t>
                  </w:r>
                </w:p>
              </w:tc>
              <w:tc>
                <w:tcPr>
                  <w:tcW w:w="1557" w:type="dxa"/>
                  <w:vAlign w:val="center"/>
                </w:tcPr>
                <w:p>
                  <w:pPr>
                    <w:jc w:val="center"/>
                    <w:rPr>
                      <w:rFonts w:hint="eastAsia" w:ascii="Times New Roman" w:hAnsi="Times New Roman"/>
                      <w:color w:val="auto"/>
                    </w:rPr>
                  </w:pPr>
                  <w:r>
                    <w:rPr>
                      <w:rFonts w:hint="eastAsia" w:ascii="Times New Roman" w:hAnsi="Times New Roman"/>
                      <w:color w:val="auto"/>
                    </w:rPr>
                    <w:t>保护生态环境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3955" w:type="dxa"/>
                  <w:gridSpan w:val="2"/>
                  <w:vAlign w:val="center"/>
                </w:tcPr>
                <w:p>
                  <w:pPr>
                    <w:jc w:val="center"/>
                    <w:rPr>
                      <w:rFonts w:hint="eastAsia" w:ascii="Times New Roman" w:hAnsi="Times New Roman"/>
                      <w:color w:val="auto"/>
                    </w:rPr>
                  </w:pPr>
                  <w:r>
                    <w:rPr>
                      <w:rFonts w:hint="eastAsia"/>
                      <w:color w:val="auto"/>
                    </w:rPr>
                    <w:t>环境影响评价及竣工环保验收费用</w:t>
                  </w:r>
                </w:p>
              </w:tc>
              <w:tc>
                <w:tcPr>
                  <w:tcW w:w="1080" w:type="dxa"/>
                  <w:vAlign w:val="center"/>
                </w:tcPr>
                <w:p>
                  <w:pPr>
                    <w:jc w:val="center"/>
                    <w:rPr>
                      <w:rFonts w:hint="eastAsia" w:ascii="Times New Roman" w:hAnsi="Times New Roman" w:eastAsia="宋体"/>
                      <w:color w:val="auto"/>
                      <w:lang w:eastAsia="zh-CN"/>
                    </w:rPr>
                  </w:pPr>
                  <w:r>
                    <w:rPr>
                      <w:rFonts w:hint="eastAsia" w:ascii="Times New Roman" w:hAnsi="Times New Roman"/>
                      <w:color w:val="auto"/>
                      <w:lang w:val="en-US" w:eastAsia="zh-CN"/>
                    </w:rPr>
                    <w:t>36</w:t>
                  </w:r>
                </w:p>
              </w:tc>
              <w:tc>
                <w:tcPr>
                  <w:tcW w:w="1503" w:type="dxa"/>
                  <w:vAlign w:val="center"/>
                </w:tcPr>
                <w:p>
                  <w:pPr>
                    <w:jc w:val="center"/>
                    <w:rPr>
                      <w:rFonts w:hint="eastAsia" w:hAnsi="宋体"/>
                      <w:color w:val="auto"/>
                    </w:rPr>
                  </w:pPr>
                  <w:r>
                    <w:rPr>
                      <w:rFonts w:hint="eastAsia" w:hAnsi="宋体"/>
                      <w:color w:val="auto"/>
                    </w:rPr>
                    <w:t>—</w:t>
                  </w:r>
                </w:p>
              </w:tc>
              <w:tc>
                <w:tcPr>
                  <w:tcW w:w="1557" w:type="dxa"/>
                  <w:vAlign w:val="center"/>
                </w:tcPr>
                <w:p>
                  <w:pPr>
                    <w:jc w:val="center"/>
                    <w:rPr>
                      <w:rFonts w:hint="eastAsia"/>
                      <w:iCs/>
                      <w:color w:val="auto"/>
                    </w:rPr>
                  </w:pPr>
                  <w:r>
                    <w:rPr>
                      <w:rFonts w:hint="eastAsia"/>
                      <w:i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3955" w:type="dxa"/>
                  <w:gridSpan w:val="2"/>
                  <w:vAlign w:val="center"/>
                </w:tcPr>
                <w:p>
                  <w:pPr>
                    <w:pStyle w:val="58"/>
                    <w:adjustRightInd/>
                    <w:spacing w:line="240" w:lineRule="auto"/>
                    <w:textAlignment w:val="auto"/>
                    <w:rPr>
                      <w:rFonts w:hint="eastAsia" w:hAnsi="宋体"/>
                      <w:iCs/>
                      <w:color w:val="auto"/>
                      <w:kern w:val="2"/>
                      <w:sz w:val="21"/>
                      <w:szCs w:val="21"/>
                    </w:rPr>
                  </w:pPr>
                  <w:r>
                    <w:rPr>
                      <w:rFonts w:hint="eastAsia" w:ascii="Times New Roman" w:hAnsi="Times New Roman"/>
                      <w:color w:val="auto"/>
                    </w:rPr>
                    <w:t>合计</w:t>
                  </w:r>
                </w:p>
              </w:tc>
              <w:tc>
                <w:tcPr>
                  <w:tcW w:w="1080" w:type="dxa"/>
                  <w:vAlign w:val="center"/>
                </w:tcPr>
                <w:p>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288</w:t>
                  </w:r>
                </w:p>
              </w:tc>
              <w:tc>
                <w:tcPr>
                  <w:tcW w:w="1503" w:type="dxa"/>
                  <w:vAlign w:val="center"/>
                </w:tcPr>
                <w:p>
                  <w:pPr>
                    <w:jc w:val="center"/>
                    <w:rPr>
                      <w:rFonts w:hint="eastAsia" w:hAnsi="宋体"/>
                      <w:color w:val="auto"/>
                    </w:rPr>
                  </w:pPr>
                </w:p>
              </w:tc>
              <w:tc>
                <w:tcPr>
                  <w:tcW w:w="1557" w:type="dxa"/>
                  <w:vAlign w:val="center"/>
                </w:tcPr>
                <w:p>
                  <w:pPr>
                    <w:jc w:val="center"/>
                    <w:rPr>
                      <w:rFonts w:hint="eastAsia"/>
                      <w:iCs/>
                      <w:color w:val="auto"/>
                    </w:rPr>
                  </w:pPr>
                </w:p>
              </w:tc>
            </w:tr>
          </w:tbl>
          <w:p>
            <w:pPr>
              <w:pStyle w:val="3"/>
              <w:rPr>
                <w:color w:val="auto"/>
              </w:rPr>
            </w:pPr>
          </w:p>
          <w:p>
            <w:pPr>
              <w:pStyle w:val="3"/>
              <w:rPr>
                <w:color w:val="auto"/>
              </w:rPr>
            </w:pPr>
          </w:p>
          <w:p>
            <w:pPr>
              <w:spacing w:line="400" w:lineRule="exact"/>
              <w:ind w:firstLine="420" w:firstLineChars="20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6" w:hRule="atLeast"/>
          <w:jc w:val="center"/>
        </w:trPr>
        <w:tc>
          <w:tcPr>
            <w:tcW w:w="8894" w:type="dxa"/>
            <w:gridSpan w:val="11"/>
            <w:vAlign w:val="top"/>
          </w:tcPr>
          <w:p>
            <w:pPr>
              <w:spacing w:line="360" w:lineRule="auto"/>
              <w:outlineLvl w:val="1"/>
              <w:rPr>
                <w:rFonts w:hint="eastAsia" w:ascii="Times New Roman" w:hAnsi="Times New Roman"/>
                <w:b/>
                <w:color w:val="auto"/>
                <w:sz w:val="24"/>
                <w:szCs w:val="24"/>
              </w:rPr>
            </w:pPr>
            <w:r>
              <w:rPr>
                <w:rFonts w:hint="eastAsia" w:ascii="Times New Roman" w:hAnsi="Times New Roman"/>
                <w:b/>
                <w:color w:val="auto"/>
                <w:sz w:val="24"/>
                <w:szCs w:val="24"/>
              </w:rPr>
              <w:t>1.6</w:t>
            </w:r>
            <w:r>
              <w:rPr>
                <w:rFonts w:ascii="Times New Roman" w:hAnsi="Times New Roman"/>
                <w:b/>
                <w:color w:val="auto"/>
                <w:sz w:val="24"/>
                <w:szCs w:val="24"/>
              </w:rPr>
              <w:t>与本项目有关的原有污染情况及主要环境问题</w:t>
            </w:r>
          </w:p>
          <w:p>
            <w:pPr>
              <w:spacing w:line="360" w:lineRule="auto"/>
              <w:ind w:firstLine="472" w:firstLineChars="225"/>
              <w:rPr>
                <w:rFonts w:ascii="Times New Roman" w:hAnsi="Times New Roman"/>
                <w:color w:val="auto"/>
              </w:rPr>
            </w:pPr>
            <w:r>
              <w:rPr>
                <w:rFonts w:hint="eastAsia" w:ascii="Times New Roman" w:hAnsi="Times New Roman"/>
                <w:color w:val="auto"/>
              </w:rPr>
              <w:t>文昌气电π接220kV玉洲至江东线路</w:t>
            </w:r>
            <w:r>
              <w:rPr>
                <w:rFonts w:ascii="Times New Roman" w:hAnsi="Times New Roman"/>
                <w:color w:val="auto"/>
              </w:rPr>
              <w:t>为新建工程，</w:t>
            </w:r>
            <w:r>
              <w:rPr>
                <w:rFonts w:hint="eastAsia" w:ascii="Times New Roman" w:hAnsi="Times New Roman"/>
                <w:color w:val="auto"/>
                <w:lang w:eastAsia="zh-CN"/>
              </w:rPr>
              <w:t>新建双回线路长约</w:t>
            </w:r>
            <w:r>
              <w:rPr>
                <w:rFonts w:hint="eastAsia" w:ascii="Times New Roman" w:hAnsi="Times New Roman"/>
                <w:color w:val="auto"/>
                <w:lang w:val="en-US" w:eastAsia="zh-CN"/>
              </w:rPr>
              <w:t>2×55km。</w:t>
            </w:r>
            <w:r>
              <w:rPr>
                <w:rFonts w:hint="eastAsia" w:ascii="Times New Roman" w:hAnsi="Times New Roman"/>
                <w:color w:val="auto"/>
              </w:rPr>
              <w:t>与本项目相关的原有污染主要为</w:t>
            </w:r>
            <w:r>
              <w:rPr>
                <w:rFonts w:hint="eastAsia" w:ascii="Times New Roman" w:hAnsi="Times New Roman"/>
                <w:color w:val="auto"/>
                <w:lang w:eastAsia="zh-CN"/>
              </w:rPr>
              <w:t>本期π接的</w:t>
            </w:r>
            <w:r>
              <w:rPr>
                <w:rFonts w:hint="eastAsia" w:ascii="Times New Roman" w:hAnsi="Times New Roman"/>
                <w:color w:val="auto"/>
              </w:rPr>
              <w:t>已建</w:t>
            </w:r>
            <w:r>
              <w:rPr>
                <w:rFonts w:ascii="Times New Roman" w:hAnsi="Times New Roman"/>
                <w:color w:val="auto"/>
              </w:rPr>
              <w:t>220kV</w:t>
            </w:r>
            <w:r>
              <w:rPr>
                <w:rFonts w:hint="eastAsia" w:ascii="Times New Roman" w:hAnsi="Times New Roman"/>
                <w:color w:val="auto"/>
              </w:rPr>
              <w:t>玉洲至江东线路对环境产生的影响。</w:t>
            </w:r>
            <w:r>
              <w:rPr>
                <w:rFonts w:ascii="Times New Roman" w:hAnsi="Times New Roman"/>
                <w:color w:val="auto"/>
              </w:rPr>
              <w:t>根据对</w:t>
            </w:r>
            <w:r>
              <w:rPr>
                <w:rFonts w:hint="eastAsia" w:ascii="Times New Roman" w:hAnsi="Times New Roman"/>
                <w:color w:val="auto"/>
              </w:rPr>
              <w:t>本期建设</w:t>
            </w:r>
            <w:r>
              <w:rPr>
                <w:rFonts w:ascii="Times New Roman" w:hAnsi="Times New Roman"/>
                <w:color w:val="auto"/>
              </w:rPr>
              <w:t>架空线路</w:t>
            </w:r>
            <w:r>
              <w:rPr>
                <w:rFonts w:hint="eastAsia" w:ascii="Times New Roman" w:hAnsi="Times New Roman"/>
                <w:color w:val="auto"/>
              </w:rPr>
              <w:t>沿线</w:t>
            </w:r>
            <w:r>
              <w:rPr>
                <w:rFonts w:ascii="Times New Roman" w:hAnsi="Times New Roman"/>
                <w:color w:val="auto"/>
              </w:rPr>
              <w:t>现状监测结果可知，架空输电线路工频电场、工频磁场和声环境背景值均满足相应标准要求。</w:t>
            </w:r>
          </w:p>
          <w:p>
            <w:pPr>
              <w:spacing w:line="360" w:lineRule="auto"/>
              <w:ind w:firstLine="472" w:firstLineChars="225"/>
              <w:rPr>
                <w:rFonts w:hint="eastAsia" w:ascii="Times New Roman" w:hAnsi="Times New Roman"/>
                <w:bCs/>
                <w:color w:val="auto"/>
                <w:spacing w:val="-4"/>
              </w:rPr>
            </w:pPr>
            <w:r>
              <w:rPr>
                <w:rFonts w:hint="eastAsia" w:ascii="Times New Roman" w:hAnsi="Times New Roman"/>
                <w:color w:val="auto"/>
              </w:rPr>
              <w:t>220kV玉洲至江东线</w:t>
            </w:r>
            <w:r>
              <w:rPr>
                <w:rFonts w:hint="eastAsia" w:ascii="Times New Roman" w:hAnsi="Times New Roman"/>
                <w:color w:val="auto"/>
                <w:lang w:eastAsia="zh-CN"/>
              </w:rPr>
              <w:t>路于</w:t>
            </w:r>
            <w:r>
              <w:rPr>
                <w:rFonts w:hint="eastAsia" w:ascii="Times New Roman" w:hAnsi="Times New Roman"/>
                <w:color w:val="auto"/>
              </w:rPr>
              <w:t>201</w:t>
            </w:r>
            <w:r>
              <w:rPr>
                <w:rFonts w:hint="eastAsia" w:ascii="Times New Roman" w:hAnsi="Times New Roman"/>
                <w:color w:val="auto"/>
                <w:lang w:val="en-US" w:eastAsia="zh-CN"/>
              </w:rPr>
              <w:t>8</w:t>
            </w:r>
            <w:r>
              <w:rPr>
                <w:rFonts w:hint="eastAsia" w:ascii="Times New Roman" w:hAnsi="Times New Roman"/>
                <w:color w:val="auto"/>
              </w:rPr>
              <w:t>年</w:t>
            </w:r>
            <w:r>
              <w:rPr>
                <w:rFonts w:hint="eastAsia" w:ascii="Times New Roman" w:hAnsi="Times New Roman"/>
                <w:color w:val="auto"/>
                <w:lang w:eastAsia="zh-CN"/>
              </w:rPr>
              <w:t>建成</w:t>
            </w:r>
            <w:r>
              <w:rPr>
                <w:rFonts w:hint="eastAsia" w:ascii="Times New Roman" w:hAnsi="Times New Roman"/>
                <w:color w:val="auto"/>
              </w:rPr>
              <w:t>投运</w:t>
            </w:r>
            <w:r>
              <w:rPr>
                <w:rFonts w:hint="eastAsia" w:ascii="Times New Roman" w:hAnsi="Times New Roman"/>
                <w:color w:val="auto"/>
                <w:lang w:eastAsia="zh-CN"/>
              </w:rPr>
              <w:t>，为海口</w:t>
            </w:r>
            <w:r>
              <w:rPr>
                <w:rFonts w:ascii="Times New Roman" w:hAnsi="Times New Roman"/>
                <w:color w:val="auto"/>
              </w:rPr>
              <w:t>220kV</w:t>
            </w:r>
            <w:r>
              <w:rPr>
                <w:rFonts w:hint="eastAsia" w:ascii="Times New Roman" w:hAnsi="Times New Roman"/>
                <w:color w:val="auto"/>
                <w:lang w:eastAsia="zh-CN"/>
              </w:rPr>
              <w:t>江东输变电</w:t>
            </w:r>
            <w:r>
              <w:rPr>
                <w:rFonts w:hint="eastAsia" w:ascii="Times New Roman" w:hAnsi="Times New Roman"/>
                <w:color w:val="auto"/>
              </w:rPr>
              <w:t>新建工程中的一部分，于</w:t>
            </w:r>
            <w:r>
              <w:rPr>
                <w:rFonts w:ascii="Times New Roman" w:hAnsi="Times New Roman"/>
                <w:color w:val="auto"/>
              </w:rPr>
              <w:t>201</w:t>
            </w:r>
            <w:r>
              <w:rPr>
                <w:rFonts w:hint="eastAsia" w:ascii="Times New Roman" w:hAnsi="Times New Roman"/>
                <w:color w:val="auto"/>
                <w:lang w:val="en-US" w:eastAsia="zh-CN"/>
              </w:rPr>
              <w:t>6</w:t>
            </w:r>
            <w:r>
              <w:rPr>
                <w:rFonts w:hint="eastAsia" w:ascii="Times New Roman" w:hAnsi="Times New Roman"/>
                <w:color w:val="auto"/>
              </w:rPr>
              <w:t>年</w:t>
            </w:r>
            <w:r>
              <w:rPr>
                <w:rFonts w:hint="eastAsia" w:ascii="Times New Roman" w:hAnsi="Times New Roman"/>
                <w:color w:val="auto"/>
                <w:lang w:val="en-US" w:eastAsia="zh-CN"/>
              </w:rPr>
              <w:t>1</w:t>
            </w:r>
            <w:r>
              <w:rPr>
                <w:rFonts w:ascii="Times New Roman" w:hAnsi="Times New Roman"/>
                <w:color w:val="auto"/>
              </w:rPr>
              <w:t xml:space="preserve"> </w:t>
            </w:r>
            <w:r>
              <w:rPr>
                <w:rFonts w:hint="eastAsia" w:ascii="Times New Roman" w:hAnsi="Times New Roman"/>
                <w:color w:val="auto"/>
              </w:rPr>
              <w:t>月取得海南省</w:t>
            </w:r>
            <w:r>
              <w:rPr>
                <w:rFonts w:hint="eastAsia" w:ascii="Times New Roman" w:hAnsi="Times New Roman"/>
                <w:color w:val="auto"/>
                <w:lang w:eastAsia="zh-CN"/>
              </w:rPr>
              <w:t>生态环境保护</w:t>
            </w:r>
            <w:r>
              <w:rPr>
                <w:rFonts w:hint="eastAsia" w:ascii="Times New Roman" w:hAnsi="Times New Roman"/>
                <w:color w:val="auto"/>
              </w:rPr>
              <w:t>厅的环评批复（琼环函</w:t>
            </w:r>
            <w:r>
              <w:rPr>
                <w:rFonts w:ascii="Times New Roman" w:hAnsi="Times New Roman"/>
                <w:color w:val="auto"/>
              </w:rPr>
              <w:t>[201</w:t>
            </w:r>
            <w:r>
              <w:rPr>
                <w:rFonts w:hint="eastAsia" w:ascii="Times New Roman" w:hAnsi="Times New Roman"/>
                <w:color w:val="auto"/>
                <w:lang w:val="en-US" w:eastAsia="zh-CN"/>
              </w:rPr>
              <w:t>6</w:t>
            </w:r>
            <w:r>
              <w:rPr>
                <w:rFonts w:ascii="Times New Roman" w:hAnsi="Times New Roman"/>
                <w:color w:val="auto"/>
              </w:rPr>
              <w:t>]</w:t>
            </w:r>
            <w:r>
              <w:rPr>
                <w:rFonts w:hint="eastAsia" w:ascii="Times New Roman" w:hAnsi="Times New Roman"/>
                <w:color w:val="auto"/>
                <w:lang w:val="en-US" w:eastAsia="zh-CN"/>
              </w:rPr>
              <w:t>113</w:t>
            </w:r>
            <w:r>
              <w:rPr>
                <w:rFonts w:hint="eastAsia" w:ascii="Times New Roman" w:hAnsi="Times New Roman"/>
                <w:color w:val="auto"/>
              </w:rPr>
              <w:t>号）。</w:t>
            </w:r>
            <w:r>
              <w:rPr>
                <w:rFonts w:hint="eastAsia" w:ascii="Times New Roman" w:hAnsi="Times New Roman"/>
                <w:color w:val="auto"/>
                <w:lang w:eastAsia="zh-CN"/>
              </w:rPr>
              <w:t>目前正在开展竣工环境保护验收工作</w:t>
            </w:r>
            <w:r>
              <w:rPr>
                <w:rFonts w:ascii="Times New Roman" w:hAnsi="Times New Roman"/>
                <w:color w:val="auto"/>
              </w:rPr>
              <w:t>。</w:t>
            </w:r>
          </w:p>
        </w:tc>
      </w:tr>
    </w:tbl>
    <w:p>
      <w:pPr>
        <w:outlineLvl w:val="0"/>
        <w:rPr>
          <w:rFonts w:ascii="Times New Roman" w:hAnsi="Times New Roman"/>
          <w:color w:val="auto"/>
        </w:rPr>
      </w:pPr>
      <w:bookmarkStart w:id="12" w:name="_Toc339020798"/>
      <w:r>
        <w:rPr>
          <w:rFonts w:ascii="Times New Roman" w:hAnsi="Times New Roman"/>
          <w:color w:val="auto"/>
        </w:rPr>
        <w:br w:type="page"/>
      </w:r>
      <w:r>
        <w:rPr>
          <w:rFonts w:ascii="Times New Roman" w:hAnsi="Times New Roman"/>
          <w:color w:val="auto"/>
        </w:rPr>
        <mc:AlternateContent>
          <mc:Choice Requires="wps">
            <w:drawing>
              <wp:anchor distT="0" distB="0" distL="114300" distR="114300" simplePos="0" relativeHeight="251669504" behindDoc="0" locked="0" layoutInCell="1" allowOverlap="1">
                <wp:simplePos x="0" y="0"/>
                <wp:positionH relativeFrom="column">
                  <wp:posOffset>5257800</wp:posOffset>
                </wp:positionH>
                <wp:positionV relativeFrom="paragraph">
                  <wp:posOffset>-5448300</wp:posOffset>
                </wp:positionV>
                <wp:extent cx="342900" cy="2575560"/>
                <wp:effectExtent l="0" t="0" r="0" b="15240"/>
                <wp:wrapNone/>
                <wp:docPr id="12" name="文本框 95"/>
                <wp:cNvGraphicFramePr/>
                <a:graphic xmlns:a="http://schemas.openxmlformats.org/drawingml/2006/main">
                  <a:graphicData uri="http://schemas.microsoft.com/office/word/2010/wordprocessingShape">
                    <wps:wsp>
                      <wps:cNvSpPr txBox="1"/>
                      <wps:spPr>
                        <a:xfrm>
                          <a:off x="0" y="0"/>
                          <a:ext cx="342900" cy="2575560"/>
                        </a:xfrm>
                        <a:prstGeom prst="rect">
                          <a:avLst/>
                        </a:prstGeom>
                        <a:solidFill>
                          <a:srgbClr val="FFFFFF"/>
                        </a:solidFill>
                        <a:ln>
                          <a:noFill/>
                        </a:ln>
                      </wps:spPr>
                      <wps:txbx>
                        <w:txbxContent>
                          <w:p>
                            <w:pPr>
                              <w:jc w:val="center"/>
                              <w:rPr>
                                <w:rFonts w:ascii="Times New Roman" w:hAnsi="Times New Roman"/>
                              </w:rPr>
                            </w:pPr>
                            <w:r>
                              <w:rPr>
                                <w:rFonts w:ascii="Times New Roman"/>
                              </w:rPr>
                              <w:t>图</w:t>
                            </w:r>
                            <w:r>
                              <w:rPr>
                                <w:rFonts w:ascii="Times New Roman" w:hAnsi="Times New Roman"/>
                              </w:rPr>
                              <w:t>1</w:t>
                            </w:r>
                            <w:r>
                              <w:rPr>
                                <w:rFonts w:hint="eastAsia" w:ascii="Times New Roman" w:hAnsi="Times New Roman"/>
                              </w:rPr>
                              <w:t xml:space="preserve"> </w:t>
                            </w:r>
                            <w:r>
                              <w:rPr>
                                <w:rFonts w:ascii="Times New Roman"/>
                              </w:rPr>
                              <w:t>本工程地理位置示意图</w:t>
                            </w:r>
                          </w:p>
                        </w:txbxContent>
                      </wps:txbx>
                      <wps:bodyPr vert="vert270" wrap="square" upright="1"/>
                    </wps:wsp>
                  </a:graphicData>
                </a:graphic>
              </wp:anchor>
            </w:drawing>
          </mc:Choice>
          <mc:Fallback>
            <w:pict>
              <v:shape id="文本框 95" o:spid="_x0000_s1026" o:spt="202" type="#_x0000_t202" style="position:absolute;left:0pt;margin-left:414pt;margin-top:-429pt;height:202.8pt;width:27pt;z-index:251669504;mso-width-relative:page;mso-height-relative:page;" fillcolor="#FFFFFF" filled="t" stroked="f" coordsize="21600,21600" o:gfxdata="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7cr6V2gAAAA0BAAAPAAAAAAAAAAEAIAAAACIAAABkcnMvZG93bnJldi54bWxQ&#10;SwECFAAUAAAACACHTuJAoGEZw7wBAABIAwAADgAAAAAAAAABACAAAAApAQAAZHJzL2Uyb0RvYy54&#10;bWxQSwUGAAAAAAYABgBZAQAAVwUAAAAA&#10;">
                <v:fill on="t" focussize="0,0"/>
                <v:stroke on="f"/>
                <v:imagedata o:title=""/>
                <o:lock v:ext="edit" aspectratio="f"/>
                <v:textbox style="layout-flow:vertical;mso-layout-flow-alt:bottom-to-top;">
                  <w:txbxContent>
                    <w:p>
                      <w:pPr>
                        <w:jc w:val="center"/>
                        <w:rPr>
                          <w:rFonts w:ascii="Times New Roman" w:hAnsi="Times New Roman"/>
                        </w:rPr>
                      </w:pPr>
                      <w:r>
                        <w:rPr>
                          <w:rFonts w:ascii="Times New Roman"/>
                        </w:rPr>
                        <w:t>图</w:t>
                      </w:r>
                      <w:r>
                        <w:rPr>
                          <w:rFonts w:ascii="Times New Roman" w:hAnsi="Times New Roman"/>
                        </w:rPr>
                        <w:t>1</w:t>
                      </w:r>
                      <w:r>
                        <w:rPr>
                          <w:rFonts w:hint="eastAsia" w:ascii="Times New Roman" w:hAnsi="Times New Roman"/>
                        </w:rPr>
                        <w:t xml:space="preserve"> </w:t>
                      </w:r>
                      <w:r>
                        <w:rPr>
                          <w:rFonts w:ascii="Times New Roman"/>
                        </w:rPr>
                        <w:t>本工程地理位置示意图</w:t>
                      </w:r>
                    </w:p>
                  </w:txbxContent>
                </v:textbox>
              </v:shape>
            </w:pict>
          </mc:Fallback>
        </mc:AlternateContent>
      </w:r>
      <w:r>
        <w:rPr>
          <w:rFonts w:hint="eastAsia" w:ascii="Times New Roman" w:hAnsi="Times New Roman"/>
          <w:color w:val="auto"/>
        </w:rPr>
        <mc:AlternateContent>
          <mc:Choice Requires="wps">
            <w:drawing>
              <wp:anchor distT="0" distB="0" distL="114300" distR="114300" simplePos="0" relativeHeight="251670528" behindDoc="0" locked="0" layoutInCell="1" allowOverlap="1">
                <wp:simplePos x="0" y="0"/>
                <wp:positionH relativeFrom="column">
                  <wp:posOffset>5143500</wp:posOffset>
                </wp:positionH>
                <wp:positionV relativeFrom="paragraph">
                  <wp:posOffset>-6386830</wp:posOffset>
                </wp:positionV>
                <wp:extent cx="342900" cy="2575560"/>
                <wp:effectExtent l="0" t="0" r="0" b="15240"/>
                <wp:wrapNone/>
                <wp:docPr id="13" name="文本框 103"/>
                <wp:cNvGraphicFramePr/>
                <a:graphic xmlns:a="http://schemas.openxmlformats.org/drawingml/2006/main">
                  <a:graphicData uri="http://schemas.microsoft.com/office/word/2010/wordprocessingShape">
                    <wps:wsp>
                      <wps:cNvSpPr txBox="1"/>
                      <wps:spPr>
                        <a:xfrm>
                          <a:off x="0" y="0"/>
                          <a:ext cx="342900" cy="2575560"/>
                        </a:xfrm>
                        <a:prstGeom prst="rect">
                          <a:avLst/>
                        </a:prstGeom>
                        <a:solidFill>
                          <a:srgbClr val="FFFFFF"/>
                        </a:solidFill>
                        <a:ln>
                          <a:noFill/>
                        </a:ln>
                      </wps:spPr>
                      <wps:txbx>
                        <w:txbxContent>
                          <w:p>
                            <w:pPr>
                              <w:jc w:val="center"/>
                              <w:rPr>
                                <w:rFonts w:ascii="Times New Roman" w:hAnsi="Times New Roman"/>
                              </w:rPr>
                            </w:pPr>
                            <w:r>
                              <w:rPr>
                                <w:rFonts w:ascii="Times New Roman"/>
                              </w:rPr>
                              <w:t>图</w:t>
                            </w:r>
                            <w:r>
                              <w:rPr>
                                <w:rFonts w:hint="eastAsia" w:ascii="Times New Roman" w:hAnsi="Times New Roman"/>
                              </w:rPr>
                              <w:t xml:space="preserve">5 </w:t>
                            </w:r>
                            <w:r>
                              <w:rPr>
                                <w:rFonts w:ascii="Times New Roman"/>
                              </w:rPr>
                              <w:t>本工程</w:t>
                            </w:r>
                            <w:r>
                              <w:rPr>
                                <w:rFonts w:hint="eastAsia" w:ascii="Times New Roman"/>
                              </w:rPr>
                              <w:t>塔型一览</w:t>
                            </w:r>
                            <w:r>
                              <w:rPr>
                                <w:rFonts w:ascii="Times New Roman"/>
                              </w:rPr>
                              <w:t>图</w:t>
                            </w:r>
                          </w:p>
                        </w:txbxContent>
                      </wps:txbx>
                      <wps:bodyPr vert="vert270" wrap="square" upright="1"/>
                    </wps:wsp>
                  </a:graphicData>
                </a:graphic>
              </wp:anchor>
            </w:drawing>
          </mc:Choice>
          <mc:Fallback>
            <w:pict>
              <v:shape id="文本框 103" o:spid="_x0000_s1026" o:spt="202" type="#_x0000_t202" style="position:absolute;left:0pt;margin-left:405pt;margin-top:-502.9pt;height:202.8pt;width:27pt;z-index:251670528;mso-width-relative:page;mso-height-relative:page;" fillcolor="#FFFFFF" filled="t" stroked="f" coordsize="21600,21600" o:gfxdata="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3z9i2gAAAA4BAAAPAAAAAAAAAAEAIAAAACIAAABkcnMvZG93bnJldi54bWxQ&#10;SwECFAAUAAAACACHTuJAmLfIOrwBAABJAwAADgAAAAAAAAABACAAAAApAQAAZHJzL2Uyb0RvYy54&#10;bWxQSwUGAAAAAAYABgBZAQAAVwUAAAAA&#10;">
                <v:fill on="t" focussize="0,0"/>
                <v:stroke on="f"/>
                <v:imagedata o:title=""/>
                <o:lock v:ext="edit" aspectratio="f"/>
                <v:textbox style="layout-flow:vertical;mso-layout-flow-alt:bottom-to-top;">
                  <w:txbxContent>
                    <w:p>
                      <w:pPr>
                        <w:jc w:val="center"/>
                        <w:rPr>
                          <w:rFonts w:ascii="Times New Roman" w:hAnsi="Times New Roman"/>
                        </w:rPr>
                      </w:pPr>
                      <w:r>
                        <w:rPr>
                          <w:rFonts w:ascii="Times New Roman"/>
                        </w:rPr>
                        <w:t>图</w:t>
                      </w:r>
                      <w:r>
                        <w:rPr>
                          <w:rFonts w:hint="eastAsia" w:ascii="Times New Roman" w:hAnsi="Times New Roman"/>
                        </w:rPr>
                        <w:t xml:space="preserve">5 </w:t>
                      </w:r>
                      <w:r>
                        <w:rPr>
                          <w:rFonts w:ascii="Times New Roman"/>
                        </w:rPr>
                        <w:t>本工程</w:t>
                      </w:r>
                      <w:r>
                        <w:rPr>
                          <w:rFonts w:hint="eastAsia" w:ascii="Times New Roman"/>
                        </w:rPr>
                        <w:t>塔型一览</w:t>
                      </w:r>
                      <w:r>
                        <w:rPr>
                          <w:rFonts w:ascii="Times New Roman"/>
                        </w:rPr>
                        <w:t>图</w:t>
                      </w:r>
                    </w:p>
                  </w:txbxContent>
                </v:textbox>
              </v:shape>
            </w:pict>
          </mc:Fallback>
        </mc:AlternateContent>
      </w:r>
      <w:bookmarkStart w:id="13" w:name="_Toc522457748"/>
      <w:r>
        <w:rPr>
          <w:rFonts w:hint="eastAsia" w:ascii="Times New Roman" w:hAnsi="Times New Roman"/>
          <w:b/>
          <w:color w:val="auto"/>
          <w:sz w:val="28"/>
          <w:szCs w:val="28"/>
        </w:rPr>
        <w:t>2</w:t>
      </w:r>
      <w:r>
        <w:rPr>
          <w:rFonts w:ascii="Times New Roman" w:hAnsi="Times New Roman"/>
          <w:b/>
          <w:color w:val="auto"/>
          <w:sz w:val="28"/>
          <w:szCs w:val="28"/>
        </w:rPr>
        <w:t>建设项目所在地自然环境简况</w:t>
      </w:r>
      <w:bookmarkEnd w:id="12"/>
      <w:bookmarkEnd w:id="13"/>
    </w:p>
    <w:tbl>
      <w:tblPr>
        <w:tblStyle w:val="50"/>
        <w:tblW w:w="864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71" w:hRule="atLeast"/>
        </w:trPr>
        <w:tc>
          <w:tcPr>
            <w:tcW w:w="8642" w:type="dxa"/>
            <w:tcBorders>
              <w:bottom w:val="single" w:color="auto" w:sz="4" w:space="0"/>
            </w:tcBorders>
            <w:vAlign w:val="top"/>
          </w:tcPr>
          <w:p>
            <w:pPr>
              <w:spacing w:before="156" w:beforeLines="50" w:line="360" w:lineRule="auto"/>
              <w:outlineLvl w:val="1"/>
              <w:rPr>
                <w:rFonts w:hint="eastAsia" w:ascii="Times New Roman" w:hAnsi="Times New Roman"/>
                <w:b/>
                <w:color w:val="auto"/>
                <w:sz w:val="24"/>
                <w:szCs w:val="24"/>
              </w:rPr>
            </w:pPr>
            <w:r>
              <w:rPr>
                <w:rFonts w:hint="eastAsia" w:ascii="Times New Roman" w:hAnsi="Times New Roman"/>
                <w:b/>
                <w:color w:val="auto"/>
                <w:sz w:val="24"/>
                <w:szCs w:val="24"/>
              </w:rPr>
              <w:t xml:space="preserve">2.1 </w:t>
            </w:r>
            <w:r>
              <w:rPr>
                <w:rFonts w:ascii="Times New Roman" w:hAnsi="Times New Roman"/>
                <w:b/>
                <w:color w:val="auto"/>
                <w:sz w:val="24"/>
                <w:szCs w:val="24"/>
              </w:rPr>
              <w:t>自然环境简况（地形、地貌、地质、气象、水文、植被、生物多样性等）</w:t>
            </w:r>
          </w:p>
          <w:p>
            <w:pPr>
              <w:spacing w:line="360" w:lineRule="auto"/>
              <w:ind w:firstLine="420"/>
              <w:rPr>
                <w:rFonts w:ascii="Times New Roman" w:hAnsi="Times New Roman"/>
                <w:color w:val="auto"/>
              </w:rPr>
            </w:pPr>
            <w:r>
              <w:rPr>
                <w:rFonts w:ascii="Times New Roman"/>
                <w:color w:val="auto"/>
              </w:rPr>
              <w:t>本工程位于</w:t>
            </w:r>
            <w:r>
              <w:rPr>
                <w:rFonts w:hint="eastAsia" w:ascii="Times New Roman" w:hAnsi="Times New Roman"/>
                <w:color w:val="auto"/>
              </w:rPr>
              <w:t>海南省</w:t>
            </w:r>
            <w:r>
              <w:rPr>
                <w:rFonts w:hint="eastAsia" w:ascii="Times New Roman" w:hAnsi="Times New Roman"/>
                <w:color w:val="auto"/>
                <w:lang w:eastAsia="zh-CN"/>
              </w:rPr>
              <w:t>海口市龙华区、琼山区及美兰区</w:t>
            </w:r>
            <w:r>
              <w:rPr>
                <w:rFonts w:hint="eastAsia" w:ascii="Times New Roman" w:hAnsi="Times New Roman"/>
                <w:color w:val="auto"/>
              </w:rPr>
              <w:t>和</w:t>
            </w:r>
            <w:r>
              <w:rPr>
                <w:rFonts w:hint="eastAsia" w:ascii="Times New Roman" w:hAnsi="Times New Roman"/>
                <w:color w:val="auto"/>
                <w:lang w:eastAsia="zh-CN"/>
              </w:rPr>
              <w:t>文昌市东路镇</w:t>
            </w:r>
            <w:r>
              <w:rPr>
                <w:rFonts w:ascii="Times New Roman"/>
                <w:color w:val="auto"/>
              </w:rPr>
              <w:t>境内。</w:t>
            </w:r>
          </w:p>
          <w:p>
            <w:pPr>
              <w:spacing w:line="360" w:lineRule="auto"/>
              <w:ind w:firstLine="420"/>
              <w:rPr>
                <w:rFonts w:hint="eastAsia" w:ascii="Times New Roman" w:hAnsi="Times New Roman"/>
                <w:color w:val="auto"/>
              </w:rPr>
            </w:pPr>
            <w:r>
              <w:rPr>
                <w:rFonts w:hint="eastAsia" w:ascii="Times New Roman"/>
                <w:color w:val="auto"/>
                <w:szCs w:val="21"/>
              </w:rPr>
              <w:t>海口</w:t>
            </w:r>
            <w:r>
              <w:rPr>
                <w:rFonts w:ascii="Times New Roman"/>
                <w:color w:val="auto"/>
                <w:szCs w:val="21"/>
              </w:rPr>
              <w:t>市</w:t>
            </w:r>
            <w:r>
              <w:rPr>
                <w:rFonts w:hint="eastAsia" w:ascii="Times New Roman"/>
                <w:color w:val="auto"/>
                <w:szCs w:val="21"/>
              </w:rPr>
              <w:t>位于</w:t>
            </w:r>
            <w:r>
              <w:rPr>
                <w:rFonts w:ascii="Times New Roman"/>
                <w:color w:val="auto"/>
                <w:szCs w:val="21"/>
              </w:rPr>
              <w:t>北纬19°32′</w:t>
            </w:r>
            <w:r>
              <w:rPr>
                <w:rFonts w:hint="eastAsia" w:ascii="Times New Roman"/>
                <w:color w:val="auto"/>
                <w:szCs w:val="21"/>
              </w:rPr>
              <w:t>~</w:t>
            </w:r>
            <w:r>
              <w:rPr>
                <w:rFonts w:ascii="Times New Roman"/>
                <w:color w:val="auto"/>
                <w:szCs w:val="21"/>
              </w:rPr>
              <w:t>20°05′，东经110°10′</w:t>
            </w:r>
            <w:r>
              <w:rPr>
                <w:rFonts w:hint="eastAsia" w:ascii="Times New Roman"/>
                <w:color w:val="auto"/>
                <w:szCs w:val="21"/>
              </w:rPr>
              <w:t>~</w:t>
            </w:r>
            <w:r>
              <w:rPr>
                <w:rFonts w:ascii="Times New Roman"/>
                <w:color w:val="auto"/>
                <w:szCs w:val="21"/>
              </w:rPr>
              <w:t>110°41′之间，地处海南岛北部，东邻</w:t>
            </w:r>
            <w:r>
              <w:rPr>
                <w:color w:val="auto"/>
              </w:rPr>
              <w:fldChar w:fldCharType="begin"/>
            </w:r>
            <w:r>
              <w:rPr>
                <w:color w:val="auto"/>
              </w:rPr>
              <w:instrText xml:space="preserve"> HYPERLINK "https://baike.baidu.com/item/%E6%96%87%E6%98%8C/12363" \t "_blank" </w:instrText>
            </w:r>
            <w:r>
              <w:rPr>
                <w:color w:val="auto"/>
              </w:rPr>
              <w:fldChar w:fldCharType="separate"/>
            </w:r>
            <w:r>
              <w:rPr>
                <w:rFonts w:ascii="Times New Roman"/>
                <w:color w:val="auto"/>
              </w:rPr>
              <w:t>文昌</w:t>
            </w:r>
            <w:r>
              <w:rPr>
                <w:rFonts w:ascii="Times New Roman"/>
                <w:color w:val="auto"/>
              </w:rPr>
              <w:fldChar w:fldCharType="end"/>
            </w:r>
            <w:r>
              <w:rPr>
                <w:rFonts w:ascii="Times New Roman"/>
                <w:color w:val="auto"/>
                <w:szCs w:val="21"/>
              </w:rPr>
              <w:t>，西接</w:t>
            </w:r>
            <w:r>
              <w:rPr>
                <w:color w:val="auto"/>
              </w:rPr>
              <w:fldChar w:fldCharType="begin"/>
            </w:r>
            <w:r>
              <w:rPr>
                <w:color w:val="auto"/>
              </w:rPr>
              <w:instrText xml:space="preserve"> HYPERLINK "https://baike.baidu.com/item/%E6%BE%84%E8%BF%88/6560300" \t "_blank" </w:instrText>
            </w:r>
            <w:r>
              <w:rPr>
                <w:color w:val="auto"/>
              </w:rPr>
              <w:fldChar w:fldCharType="separate"/>
            </w:r>
            <w:r>
              <w:rPr>
                <w:rFonts w:ascii="Times New Roman"/>
                <w:color w:val="auto"/>
              </w:rPr>
              <w:t>澄迈</w:t>
            </w:r>
            <w:r>
              <w:rPr>
                <w:rFonts w:ascii="Times New Roman"/>
                <w:color w:val="auto"/>
              </w:rPr>
              <w:fldChar w:fldCharType="end"/>
            </w:r>
            <w:r>
              <w:rPr>
                <w:rFonts w:ascii="Times New Roman"/>
                <w:color w:val="auto"/>
                <w:szCs w:val="21"/>
              </w:rPr>
              <w:t>，南毗</w:t>
            </w:r>
            <w:r>
              <w:rPr>
                <w:color w:val="auto"/>
              </w:rPr>
              <w:fldChar w:fldCharType="begin"/>
            </w:r>
            <w:r>
              <w:rPr>
                <w:color w:val="auto"/>
              </w:rPr>
              <w:instrText xml:space="preserve"> HYPERLINK "https://baike.baidu.com/item/%E5%AE%9A%E5%AE%89/84925" \t "_blank" </w:instrText>
            </w:r>
            <w:r>
              <w:rPr>
                <w:color w:val="auto"/>
              </w:rPr>
              <w:fldChar w:fldCharType="separate"/>
            </w:r>
            <w:r>
              <w:rPr>
                <w:rFonts w:ascii="Times New Roman"/>
                <w:color w:val="auto"/>
              </w:rPr>
              <w:t>定安</w:t>
            </w:r>
            <w:r>
              <w:rPr>
                <w:rFonts w:ascii="Times New Roman"/>
                <w:color w:val="auto"/>
              </w:rPr>
              <w:fldChar w:fldCharType="end"/>
            </w:r>
            <w:r>
              <w:rPr>
                <w:rFonts w:ascii="Times New Roman"/>
                <w:color w:val="auto"/>
                <w:szCs w:val="21"/>
              </w:rPr>
              <w:t>，北濒</w:t>
            </w:r>
            <w:r>
              <w:rPr>
                <w:color w:val="auto"/>
              </w:rPr>
              <w:fldChar w:fldCharType="begin"/>
            </w:r>
            <w:r>
              <w:rPr>
                <w:color w:val="auto"/>
              </w:rPr>
              <w:instrText xml:space="preserve"> HYPERLINK "https://baike.baidu.com/item/%E7%90%BC%E5%B7%9E%E6%B5%B7%E5%B3%A1/1613071" \t "_blank" </w:instrText>
            </w:r>
            <w:r>
              <w:rPr>
                <w:color w:val="auto"/>
              </w:rPr>
              <w:fldChar w:fldCharType="separate"/>
            </w:r>
            <w:r>
              <w:rPr>
                <w:rFonts w:ascii="Times New Roman"/>
                <w:color w:val="auto"/>
              </w:rPr>
              <w:t>琼州海峡</w:t>
            </w:r>
            <w:r>
              <w:rPr>
                <w:rFonts w:ascii="Times New Roman"/>
                <w:color w:val="auto"/>
              </w:rPr>
              <w:fldChar w:fldCharType="end"/>
            </w:r>
            <w:r>
              <w:rPr>
                <w:rFonts w:hint="eastAsia" w:ascii="Times New Roman"/>
                <w:color w:val="auto"/>
                <w:szCs w:val="21"/>
              </w:rPr>
              <w:t>。本市</w:t>
            </w:r>
            <w:r>
              <w:rPr>
                <w:rFonts w:ascii="Times New Roman"/>
                <w:color w:val="auto"/>
                <w:szCs w:val="21"/>
              </w:rPr>
              <w:t>由本岛</w:t>
            </w:r>
            <w:r>
              <w:rPr>
                <w:color w:val="auto"/>
              </w:rPr>
              <w:fldChar w:fldCharType="begin"/>
            </w:r>
            <w:r>
              <w:rPr>
                <w:color w:val="auto"/>
              </w:rPr>
              <w:instrText xml:space="preserve"> HYPERLINK "https://baike.baidu.com/item/%E6%B5%B7%E5%8D%97%E5%B2%9B/179653" \t "_blank" </w:instrText>
            </w:r>
            <w:r>
              <w:rPr>
                <w:color w:val="auto"/>
              </w:rPr>
              <w:fldChar w:fldCharType="separate"/>
            </w:r>
            <w:r>
              <w:rPr>
                <w:rFonts w:ascii="Times New Roman"/>
                <w:color w:val="auto"/>
              </w:rPr>
              <w:t>海南岛</w:t>
            </w:r>
            <w:r>
              <w:rPr>
                <w:rFonts w:ascii="Times New Roman"/>
                <w:color w:val="auto"/>
              </w:rPr>
              <w:fldChar w:fldCharType="end"/>
            </w:r>
            <w:r>
              <w:rPr>
                <w:rFonts w:ascii="Times New Roman"/>
                <w:color w:val="auto"/>
                <w:szCs w:val="21"/>
              </w:rPr>
              <w:t>（部分）、离岛</w:t>
            </w:r>
            <w:r>
              <w:rPr>
                <w:color w:val="auto"/>
              </w:rPr>
              <w:fldChar w:fldCharType="begin"/>
            </w:r>
            <w:r>
              <w:rPr>
                <w:color w:val="auto"/>
              </w:rPr>
              <w:instrText xml:space="preserve"> HYPERLINK "https://baike.baidu.com/item/%E6%B5%B7%E7%94%B8%E5%B2%9B/1199645" \t "_blank" </w:instrText>
            </w:r>
            <w:r>
              <w:rPr>
                <w:color w:val="auto"/>
              </w:rPr>
              <w:fldChar w:fldCharType="separate"/>
            </w:r>
            <w:r>
              <w:rPr>
                <w:rFonts w:ascii="Times New Roman"/>
                <w:color w:val="auto"/>
              </w:rPr>
              <w:t>海甸岛</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"https://baike.baidu.com/item/%E6%96%B0%E5%9F%A0%E5%B2%9B/7690862" \t "_blank" </w:instrText>
            </w:r>
            <w:r>
              <w:rPr>
                <w:color w:val="auto"/>
              </w:rPr>
              <w:fldChar w:fldCharType="separate"/>
            </w:r>
            <w:r>
              <w:rPr>
                <w:rFonts w:ascii="Times New Roman"/>
                <w:color w:val="auto"/>
              </w:rPr>
              <w:t>新埠岛</w:t>
            </w:r>
            <w:r>
              <w:rPr>
                <w:rFonts w:ascii="Times New Roman"/>
                <w:color w:val="auto"/>
              </w:rPr>
              <w:fldChar w:fldCharType="end"/>
            </w:r>
            <w:r>
              <w:rPr>
                <w:rFonts w:ascii="Times New Roman"/>
                <w:color w:val="auto"/>
                <w:szCs w:val="21"/>
              </w:rPr>
              <w:t>组成，全市总面积3145.93</w:t>
            </w:r>
            <w:r>
              <w:rPr>
                <w:rFonts w:hint="eastAsia" w:ascii="Times New Roman"/>
                <w:color w:val="auto"/>
                <w:szCs w:val="21"/>
              </w:rPr>
              <w:t>km</w:t>
            </w:r>
            <w:r>
              <w:rPr>
                <w:rFonts w:hint="eastAsia" w:ascii="Times New Roman"/>
                <w:color w:val="auto"/>
                <w:szCs w:val="21"/>
                <w:vertAlign w:val="superscript"/>
              </w:rPr>
              <w:t>2</w:t>
            </w:r>
            <w:r>
              <w:rPr>
                <w:rFonts w:ascii="Times New Roman"/>
                <w:color w:val="auto"/>
                <w:szCs w:val="21"/>
              </w:rPr>
              <w:t>，其中，陆地面积2284.49</w:t>
            </w:r>
            <w:r>
              <w:rPr>
                <w:rFonts w:hint="eastAsia" w:ascii="Times New Roman"/>
                <w:color w:val="auto"/>
                <w:szCs w:val="21"/>
              </w:rPr>
              <w:t>km</w:t>
            </w:r>
            <w:r>
              <w:rPr>
                <w:rFonts w:hint="eastAsia" w:ascii="Times New Roman"/>
                <w:color w:val="auto"/>
                <w:szCs w:val="21"/>
                <w:vertAlign w:val="superscript"/>
              </w:rPr>
              <w:t>2</w:t>
            </w:r>
            <w:r>
              <w:rPr>
                <w:rFonts w:ascii="Times New Roman"/>
                <w:color w:val="auto"/>
                <w:szCs w:val="21"/>
              </w:rPr>
              <w:t>，海域面积861.44</w:t>
            </w:r>
            <w:r>
              <w:rPr>
                <w:rFonts w:hint="eastAsia" w:ascii="Times New Roman"/>
                <w:color w:val="auto"/>
                <w:szCs w:val="21"/>
              </w:rPr>
              <w:t>km</w:t>
            </w:r>
            <w:r>
              <w:rPr>
                <w:rFonts w:hint="eastAsia" w:ascii="Times New Roman"/>
                <w:color w:val="auto"/>
                <w:szCs w:val="21"/>
                <w:vertAlign w:val="superscript"/>
              </w:rPr>
              <w:t>2</w:t>
            </w:r>
            <w:r>
              <w:rPr>
                <w:rFonts w:ascii="Times New Roman"/>
                <w:color w:val="auto"/>
                <w:szCs w:val="21"/>
              </w:rPr>
              <w:t>。海口市辖秀英区、龙华区、琼山区、美兰区4个区（县级）</w:t>
            </w:r>
            <w:r>
              <w:rPr>
                <w:rFonts w:hint="eastAsia" w:ascii="Times New Roman"/>
                <w:color w:val="auto"/>
                <w:szCs w:val="21"/>
              </w:rPr>
              <w:t>，</w:t>
            </w:r>
            <w:r>
              <w:rPr>
                <w:rFonts w:ascii="Times New Roman"/>
                <w:color w:val="auto"/>
                <w:szCs w:val="21"/>
              </w:rPr>
              <w:t>下设21个</w:t>
            </w:r>
            <w:r>
              <w:rPr>
                <w:color w:val="auto"/>
              </w:rPr>
              <w:fldChar w:fldCharType="begin"/>
            </w:r>
            <w:r>
              <w:rPr>
                <w:color w:val="auto"/>
              </w:rPr>
              <w:instrText xml:space="preserve"> HYPERLINK "https://baike.baidu.com/item/%E8%A1%97%E9%81%93/419541" \t "_blank" </w:instrText>
            </w:r>
            <w:r>
              <w:rPr>
                <w:color w:val="auto"/>
              </w:rPr>
              <w:fldChar w:fldCharType="separate"/>
            </w:r>
            <w:r>
              <w:rPr>
                <w:rFonts w:ascii="Times New Roman"/>
                <w:color w:val="auto"/>
              </w:rPr>
              <w:t>街道</w:t>
            </w:r>
            <w:r>
              <w:rPr>
                <w:rFonts w:ascii="Times New Roman"/>
                <w:color w:val="auto"/>
              </w:rPr>
              <w:fldChar w:fldCharType="end"/>
            </w:r>
            <w:r>
              <w:rPr>
                <w:rFonts w:ascii="Times New Roman"/>
                <w:color w:val="auto"/>
                <w:szCs w:val="21"/>
              </w:rPr>
              <w:t>、22个</w:t>
            </w:r>
            <w:r>
              <w:rPr>
                <w:color w:val="auto"/>
              </w:rPr>
              <w:fldChar w:fldCharType="begin"/>
            </w:r>
            <w:r>
              <w:rPr>
                <w:color w:val="auto"/>
              </w:rPr>
              <w:instrText xml:space="preserve"> HYPERLINK "https://baike.baidu.com/item/%E9%95%87/5922313" \t "_blank" </w:instrText>
            </w:r>
            <w:r>
              <w:rPr>
                <w:color w:val="auto"/>
              </w:rPr>
              <w:fldChar w:fldCharType="separate"/>
            </w:r>
            <w:r>
              <w:rPr>
                <w:rFonts w:ascii="Times New Roman"/>
                <w:color w:val="auto"/>
              </w:rPr>
              <w:t>镇</w:t>
            </w:r>
            <w:r>
              <w:rPr>
                <w:rFonts w:ascii="Times New Roman"/>
                <w:color w:val="auto"/>
              </w:rPr>
              <w:fldChar w:fldCharType="end"/>
            </w:r>
            <w:r>
              <w:rPr>
                <w:rFonts w:ascii="Times New Roman"/>
                <w:color w:val="auto"/>
                <w:szCs w:val="21"/>
              </w:rPr>
              <w:t>、207个</w:t>
            </w:r>
            <w:r>
              <w:rPr>
                <w:color w:val="auto"/>
              </w:rPr>
              <w:fldChar w:fldCharType="begin"/>
            </w:r>
            <w:r>
              <w:rPr>
                <w:color w:val="auto"/>
              </w:rPr>
              <w:instrText xml:space="preserve"> HYPERLINK "https://baike.baidu.com/item/%E7%A4%BE%E5%8C%BA/904140" \t "_blank" </w:instrText>
            </w:r>
            <w:r>
              <w:rPr>
                <w:color w:val="auto"/>
              </w:rPr>
              <w:fldChar w:fldCharType="separate"/>
            </w:r>
            <w:r>
              <w:rPr>
                <w:rFonts w:ascii="Times New Roman"/>
                <w:color w:val="auto"/>
              </w:rPr>
              <w:t>社区</w:t>
            </w:r>
            <w:r>
              <w:rPr>
                <w:rFonts w:ascii="Times New Roman"/>
                <w:color w:val="auto"/>
              </w:rPr>
              <w:fldChar w:fldCharType="end"/>
            </w:r>
            <w:r>
              <w:rPr>
                <w:rFonts w:ascii="Times New Roman"/>
                <w:color w:val="auto"/>
                <w:szCs w:val="21"/>
              </w:rPr>
              <w:t>、24</w:t>
            </w:r>
            <w:r>
              <w:rPr>
                <w:rFonts w:ascii="Times New Roman"/>
                <w:color w:val="auto"/>
              </w:rPr>
              <w:t>5个</w:t>
            </w:r>
            <w:r>
              <w:rPr>
                <w:color w:val="auto"/>
              </w:rPr>
              <w:fldChar w:fldCharType="begin"/>
            </w:r>
            <w:r>
              <w:rPr>
                <w:color w:val="auto"/>
              </w:rPr>
              <w:instrText xml:space="preserve"> HYPERLINK "https://baike.baidu.com/item/%E8%A1%8C%E6%94%BF%E6%9D%91" \t "_blank" </w:instrText>
            </w:r>
            <w:r>
              <w:rPr>
                <w:color w:val="auto"/>
              </w:rPr>
              <w:fldChar w:fldCharType="separate"/>
            </w:r>
            <w:r>
              <w:rPr>
                <w:rFonts w:ascii="Times New Roman"/>
                <w:color w:val="auto"/>
              </w:rPr>
              <w:t>行政村</w:t>
            </w:r>
            <w:r>
              <w:rPr>
                <w:rFonts w:ascii="Times New Roman"/>
                <w:color w:val="auto"/>
              </w:rPr>
              <w:fldChar w:fldCharType="end"/>
            </w:r>
            <w:r>
              <w:rPr>
                <w:rFonts w:ascii="Times New Roman"/>
                <w:color w:val="auto"/>
              </w:rPr>
              <w:t> </w:t>
            </w:r>
            <w:r>
              <w:rPr>
                <w:rFonts w:hint="eastAsia" w:ascii="Times New Roman"/>
                <w:color w:val="auto"/>
              </w:rPr>
              <w:t>，</w:t>
            </w:r>
            <w:r>
              <w:rPr>
                <w:rFonts w:ascii="Times New Roman"/>
                <w:color w:val="auto"/>
              </w:rPr>
              <w:t>是</w:t>
            </w:r>
            <w:r>
              <w:rPr>
                <w:color w:val="auto"/>
              </w:rPr>
              <w:fldChar w:fldCharType="begin"/>
            </w:r>
            <w:r>
              <w:rPr>
                <w:color w:val="auto"/>
              </w:rPr>
              <w:instrText xml:space="preserve"> HYPERLINK "https://baike.baidu.com/item/%E6%B5%B7%E5%8D%97%E7%9C%81/533000" \t "_blank" </w:instrText>
            </w:r>
            <w:r>
              <w:rPr>
                <w:color w:val="auto"/>
              </w:rPr>
              <w:fldChar w:fldCharType="separate"/>
            </w:r>
            <w:r>
              <w:rPr>
                <w:rFonts w:ascii="Times New Roman"/>
                <w:color w:val="auto"/>
              </w:rPr>
              <w:t>海南省</w:t>
            </w:r>
            <w:r>
              <w:rPr>
                <w:rFonts w:ascii="Times New Roman"/>
                <w:color w:val="auto"/>
              </w:rPr>
              <w:fldChar w:fldCharType="end"/>
            </w:r>
            <w:r>
              <w:rPr>
                <w:rFonts w:ascii="Times New Roman"/>
                <w:color w:val="auto"/>
              </w:rPr>
              <w:t>政治、经济、科技、文化中心和最大的交通枢纽。</w:t>
            </w:r>
          </w:p>
          <w:p>
            <w:pPr>
              <w:spacing w:line="360" w:lineRule="auto"/>
              <w:ind w:firstLine="420" w:firstLineChars="200"/>
              <w:rPr>
                <w:rFonts w:ascii="Times New Roman" w:hAnsi="Times New Roman"/>
                <w:color w:val="auto"/>
              </w:rPr>
            </w:pPr>
            <w:r>
              <w:rPr>
                <w:rFonts w:ascii="Times New Roman" w:hAnsi="Times New Roman"/>
                <w:color w:val="auto"/>
              </w:rPr>
              <w:t>文昌市位于海南省东北部，地理坐标为北纬19°20'～20°10'，东经108°21'～111°03'，东、南、北三面临海，西面与海口市美兰区和琼山区相邻，西南面与定安县和琼海市接壤。全市平面轮廓近似半月形，南北长99km，东西宽65km，环疆长285km，土地总面积2488km</w:t>
            </w:r>
            <w:r>
              <w:rPr>
                <w:rFonts w:ascii="Times New Roman" w:hAnsi="Times New Roman"/>
                <w:color w:val="auto"/>
                <w:vertAlign w:val="superscript"/>
              </w:rPr>
              <w:t>2</w:t>
            </w:r>
            <w:r>
              <w:rPr>
                <w:rFonts w:ascii="Times New Roman" w:hAnsi="Times New Roman"/>
                <w:color w:val="auto"/>
              </w:rPr>
              <w:t>，占全省的7%，海岸线长278.5km，海域面积4600km</w:t>
            </w:r>
            <w:r>
              <w:rPr>
                <w:rFonts w:ascii="Times New Roman" w:hAnsi="Times New Roman"/>
                <w:color w:val="auto"/>
                <w:vertAlign w:val="superscript"/>
              </w:rPr>
              <w:t>2</w:t>
            </w:r>
            <w:r>
              <w:rPr>
                <w:rFonts w:ascii="Times New Roman" w:hAnsi="Times New Roman"/>
                <w:color w:val="auto"/>
              </w:rPr>
              <w:t>。</w:t>
            </w:r>
          </w:p>
          <w:p>
            <w:pPr>
              <w:spacing w:line="360" w:lineRule="auto"/>
              <w:ind w:firstLine="422"/>
              <w:rPr>
                <w:rFonts w:ascii="Times New Roman" w:hAnsi="Times New Roman"/>
                <w:color w:val="auto"/>
              </w:rPr>
            </w:pPr>
            <w:r>
              <w:rPr>
                <w:rFonts w:ascii="Times New Roman" w:hAnsi="Times New Roman"/>
                <w:b/>
                <w:color w:val="auto"/>
              </w:rPr>
              <w:t>1</w:t>
            </w:r>
            <w:r>
              <w:rPr>
                <w:rFonts w:ascii="Times New Roman"/>
                <w:b/>
                <w:color w:val="auto"/>
              </w:rPr>
              <w:t>、区域地形、地貌地质条件</w:t>
            </w:r>
          </w:p>
          <w:p>
            <w:pPr>
              <w:spacing w:line="360" w:lineRule="auto"/>
              <w:ind w:firstLine="420"/>
              <w:rPr>
                <w:rFonts w:hint="eastAsia" w:ascii="Times New Roman" w:hAnsi="Times New Roman"/>
                <w:color w:val="auto"/>
              </w:rPr>
            </w:pPr>
            <w:r>
              <w:rPr>
                <w:rFonts w:ascii="Times New Roman"/>
                <w:color w:val="auto"/>
                <w:szCs w:val="21"/>
              </w:rPr>
              <w:t>海口市</w:t>
            </w:r>
            <w:r>
              <w:rPr>
                <w:color w:val="auto"/>
              </w:rPr>
              <w:fldChar w:fldCharType="begin"/>
            </w:r>
            <w:r>
              <w:rPr>
                <w:color w:val="auto"/>
              </w:rPr>
              <w:instrText xml:space="preserve"> HYPERLINK "https://baike.baidu.com/item/%E5%9C%B0%E5%BD%A2" \t "_blank" </w:instrText>
            </w:r>
            <w:r>
              <w:rPr>
                <w:color w:val="auto"/>
              </w:rPr>
              <w:fldChar w:fldCharType="separate"/>
            </w:r>
            <w:r>
              <w:rPr>
                <w:rFonts w:ascii="Times New Roman"/>
                <w:color w:val="auto"/>
              </w:rPr>
              <w:t>地形</w:t>
            </w:r>
            <w:r>
              <w:rPr>
                <w:rFonts w:ascii="Times New Roman"/>
                <w:color w:val="auto"/>
              </w:rPr>
              <w:fldChar w:fldCharType="end"/>
            </w:r>
            <w:r>
              <w:rPr>
                <w:rFonts w:ascii="Times New Roman"/>
                <w:color w:val="auto"/>
                <w:szCs w:val="21"/>
              </w:rPr>
              <w:t>略呈长心形，地势平缓。海南岛最长河流</w:t>
            </w:r>
            <w:r>
              <w:rPr>
                <w:color w:val="auto"/>
              </w:rPr>
              <w:fldChar w:fldCharType="begin"/>
            </w:r>
            <w:r>
              <w:rPr>
                <w:color w:val="auto"/>
              </w:rPr>
              <w:instrText xml:space="preserve"> HYPERLINK "https://baike.baidu.com/item/%E5%8D%97%E6%B8%A1%E6%B1%9F" \t "_blank" </w:instrText>
            </w:r>
            <w:r>
              <w:rPr>
                <w:color w:val="auto"/>
              </w:rPr>
              <w:fldChar w:fldCharType="separate"/>
            </w:r>
            <w:r>
              <w:rPr>
                <w:rFonts w:ascii="Times New Roman"/>
                <w:color w:val="auto"/>
              </w:rPr>
              <w:t>南渡江</w:t>
            </w:r>
            <w:r>
              <w:rPr>
                <w:rFonts w:ascii="Times New Roman"/>
                <w:color w:val="auto"/>
              </w:rPr>
              <w:fldChar w:fldCharType="end"/>
            </w:r>
            <w:r>
              <w:rPr>
                <w:rFonts w:ascii="Times New Roman"/>
                <w:color w:val="auto"/>
                <w:szCs w:val="21"/>
              </w:rPr>
              <w:t>从海口市中部穿过。南渡江东部自南向北略有倾斜，南渡江西部自北向南倾斜；西北部和东南部较高，中部南渡江沿岸低平，北部多为沿海小平原。全市除</w:t>
            </w:r>
            <w:r>
              <w:rPr>
                <w:color w:val="auto"/>
              </w:rPr>
              <w:fldChar w:fldCharType="begin"/>
            </w:r>
            <w:r>
              <w:rPr>
                <w:color w:val="auto"/>
              </w:rPr>
              <w:instrText xml:space="preserve"> HYPERLINK "https://baike.baidu.com/item/%E7%9F%B3%E5%B1%B1%E9%95%87/8181212" \t "_blank" </w:instrText>
            </w:r>
            <w:r>
              <w:rPr>
                <w:color w:val="auto"/>
              </w:rPr>
              <w:fldChar w:fldCharType="separate"/>
            </w:r>
            <w:r>
              <w:rPr>
                <w:rFonts w:ascii="Times New Roman"/>
                <w:color w:val="auto"/>
              </w:rPr>
              <w:t>石山镇</w:t>
            </w:r>
            <w:r>
              <w:rPr>
                <w:rFonts w:ascii="Times New Roman"/>
                <w:color w:val="auto"/>
              </w:rPr>
              <w:fldChar w:fldCharType="end"/>
            </w:r>
            <w:r>
              <w:rPr>
                <w:rFonts w:ascii="Times New Roman"/>
                <w:color w:val="auto"/>
                <w:szCs w:val="21"/>
              </w:rPr>
              <w:t>境内的马鞍岭（</w:t>
            </w:r>
            <w:r>
              <w:rPr>
                <w:color w:val="auto"/>
              </w:rPr>
              <w:fldChar w:fldCharType="begin"/>
            </w:r>
            <w:r>
              <w:rPr>
                <w:color w:val="auto"/>
              </w:rPr>
              <w:instrText xml:space="preserve"> HYPERLINK "https://baike.baidu.com/item/%E6%B5%B7%E6%8B%94/5754" \t "_blank" </w:instrText>
            </w:r>
            <w:r>
              <w:rPr>
                <w:color w:val="auto"/>
              </w:rPr>
              <w:fldChar w:fldCharType="separate"/>
            </w:r>
            <w:r>
              <w:rPr>
                <w:rFonts w:ascii="Times New Roman"/>
                <w:color w:val="auto"/>
              </w:rPr>
              <w:t>海拔</w:t>
            </w:r>
            <w:r>
              <w:rPr>
                <w:rFonts w:ascii="Times New Roman"/>
                <w:color w:val="auto"/>
              </w:rPr>
              <w:fldChar w:fldCharType="end"/>
            </w:r>
            <w:r>
              <w:rPr>
                <w:rFonts w:ascii="Times New Roman"/>
                <w:color w:val="auto"/>
                <w:szCs w:val="21"/>
              </w:rPr>
              <w:t>222.8</w:t>
            </w:r>
            <w:r>
              <w:rPr>
                <w:rFonts w:hint="eastAsia" w:ascii="Times New Roman"/>
                <w:color w:val="auto"/>
                <w:szCs w:val="21"/>
              </w:rPr>
              <w:t>m</w:t>
            </w:r>
            <w:r>
              <w:rPr>
                <w:rFonts w:ascii="Times New Roman"/>
                <w:color w:val="auto"/>
                <w:szCs w:val="21"/>
              </w:rPr>
              <w:t>）、</w:t>
            </w:r>
            <w:r>
              <w:rPr>
                <w:color w:val="auto"/>
              </w:rPr>
              <w:fldChar w:fldCharType="begin"/>
            </w:r>
            <w:r>
              <w:rPr>
                <w:color w:val="auto"/>
              </w:rPr>
              <w:instrText xml:space="preserve"> HYPERLINK "https://baike.baidu.com/item/%E6%97%A7%E5%B7%9E%E9%95%87/2988068" \t "_blank" </w:instrText>
            </w:r>
            <w:r>
              <w:rPr>
                <w:color w:val="auto"/>
              </w:rPr>
              <w:fldChar w:fldCharType="separate"/>
            </w:r>
            <w:r>
              <w:rPr>
                <w:rFonts w:ascii="Times New Roman"/>
                <w:color w:val="auto"/>
              </w:rPr>
              <w:t>旧州镇</w:t>
            </w:r>
            <w:r>
              <w:rPr>
                <w:rFonts w:ascii="Times New Roman"/>
                <w:color w:val="auto"/>
              </w:rPr>
              <w:fldChar w:fldCharType="end"/>
            </w:r>
            <w:r>
              <w:rPr>
                <w:rFonts w:ascii="Times New Roman"/>
                <w:color w:val="auto"/>
                <w:szCs w:val="21"/>
              </w:rPr>
              <w:t>境内的旧州岭（199.9</w:t>
            </w:r>
            <w:r>
              <w:rPr>
                <w:rFonts w:hint="eastAsia" w:ascii="Times New Roman"/>
                <w:color w:val="auto"/>
                <w:szCs w:val="21"/>
              </w:rPr>
              <w:t>m</w:t>
            </w:r>
            <w:r>
              <w:rPr>
                <w:rFonts w:ascii="Times New Roman"/>
                <w:color w:val="auto"/>
                <w:szCs w:val="21"/>
              </w:rPr>
              <w:t>）、</w:t>
            </w:r>
            <w:r>
              <w:rPr>
                <w:color w:val="auto"/>
              </w:rPr>
              <w:fldChar w:fldCharType="begin"/>
            </w:r>
            <w:r>
              <w:rPr>
                <w:color w:val="auto"/>
              </w:rPr>
              <w:instrText xml:space="preserve"> HYPERLINK "https://baike.baidu.com/item/%E7%94%B2%E5%AD%90%E9%95%87/6073266" \t "_blank" </w:instrText>
            </w:r>
            <w:r>
              <w:rPr>
                <w:color w:val="auto"/>
              </w:rPr>
              <w:fldChar w:fldCharType="separate"/>
            </w:r>
            <w:r>
              <w:rPr>
                <w:rFonts w:ascii="Times New Roman"/>
                <w:color w:val="auto"/>
              </w:rPr>
              <w:t>甲子镇</w:t>
            </w:r>
            <w:r>
              <w:rPr>
                <w:rFonts w:ascii="Times New Roman"/>
                <w:color w:val="auto"/>
              </w:rPr>
              <w:fldChar w:fldCharType="end"/>
            </w:r>
            <w:r>
              <w:rPr>
                <w:rFonts w:ascii="Times New Roman"/>
                <w:color w:val="auto"/>
                <w:szCs w:val="21"/>
              </w:rPr>
              <w:t>境内的日晒岭（171</w:t>
            </w:r>
            <w:r>
              <w:rPr>
                <w:rFonts w:hint="eastAsia" w:ascii="Times New Roman"/>
                <w:color w:val="auto"/>
                <w:szCs w:val="21"/>
              </w:rPr>
              <w:t>m</w:t>
            </w:r>
            <w:r>
              <w:rPr>
                <w:rFonts w:ascii="Times New Roman"/>
                <w:color w:val="auto"/>
                <w:szCs w:val="21"/>
              </w:rPr>
              <w:t>）、</w:t>
            </w:r>
            <w:r>
              <w:rPr>
                <w:color w:val="auto"/>
              </w:rPr>
              <w:fldChar w:fldCharType="begin"/>
            </w:r>
            <w:r>
              <w:rPr>
                <w:color w:val="auto"/>
              </w:rPr>
              <w:instrText xml:space="preserve"> HYPERLINK "https://baike.baidu.com/item/%E6%B0%B8%E5%85%B4%E9%95%87/10015902" \t "_blank" </w:instrText>
            </w:r>
            <w:r>
              <w:rPr>
                <w:color w:val="auto"/>
              </w:rPr>
              <w:fldChar w:fldCharType="separate"/>
            </w:r>
            <w:r>
              <w:rPr>
                <w:rFonts w:ascii="Times New Roman"/>
                <w:color w:val="auto"/>
              </w:rPr>
              <w:t>永兴镇</w:t>
            </w:r>
            <w:r>
              <w:rPr>
                <w:rFonts w:ascii="Times New Roman"/>
                <w:color w:val="auto"/>
              </w:rPr>
              <w:fldChar w:fldCharType="end"/>
            </w:r>
            <w:r>
              <w:rPr>
                <w:rFonts w:ascii="Times New Roman"/>
                <w:color w:val="auto"/>
                <w:szCs w:val="21"/>
              </w:rPr>
              <w:t>境内的雷虎岭（168.3</w:t>
            </w:r>
            <w:r>
              <w:rPr>
                <w:rFonts w:hint="eastAsia" w:ascii="Times New Roman"/>
                <w:color w:val="auto"/>
                <w:szCs w:val="21"/>
              </w:rPr>
              <w:t>m</w:t>
            </w:r>
            <w:r>
              <w:rPr>
                <w:rFonts w:ascii="Times New Roman"/>
                <w:color w:val="auto"/>
                <w:szCs w:val="21"/>
              </w:rPr>
              <w:t>）等38个山丘较高外，绝大部分为海拔100</w:t>
            </w:r>
            <w:r>
              <w:rPr>
                <w:rFonts w:hint="eastAsia" w:ascii="Times New Roman"/>
                <w:color w:val="auto"/>
                <w:szCs w:val="21"/>
              </w:rPr>
              <w:t>m</w:t>
            </w:r>
            <w:r>
              <w:rPr>
                <w:rFonts w:ascii="Times New Roman"/>
                <w:color w:val="auto"/>
                <w:szCs w:val="21"/>
              </w:rPr>
              <w:t>以下的</w:t>
            </w:r>
            <w:r>
              <w:rPr>
                <w:color w:val="auto"/>
              </w:rPr>
              <w:fldChar w:fldCharType="begin"/>
            </w:r>
            <w:r>
              <w:rPr>
                <w:color w:val="auto"/>
              </w:rPr>
              <w:instrText xml:space="preserve"> HYPERLINK "https://baike.baidu.com/item/%E5%8F%B0%E5%9C%B0" \t "_blank" </w:instrText>
            </w:r>
            <w:r>
              <w:rPr>
                <w:color w:val="auto"/>
              </w:rPr>
              <w:fldChar w:fldCharType="separate"/>
            </w:r>
            <w:r>
              <w:rPr>
                <w:rFonts w:ascii="Times New Roman"/>
                <w:color w:val="auto"/>
              </w:rPr>
              <w:t>台地</w:t>
            </w:r>
            <w:r>
              <w:rPr>
                <w:rFonts w:ascii="Times New Roman"/>
                <w:color w:val="auto"/>
              </w:rPr>
              <w:fldChar w:fldCharType="end"/>
            </w:r>
            <w:r>
              <w:rPr>
                <w:rFonts w:ascii="Times New Roman"/>
                <w:color w:val="auto"/>
                <w:szCs w:val="21"/>
              </w:rPr>
              <w:t>和</w:t>
            </w:r>
            <w:r>
              <w:rPr>
                <w:color w:val="auto"/>
              </w:rPr>
              <w:fldChar w:fldCharType="begin"/>
            </w:r>
            <w:r>
              <w:rPr>
                <w:color w:val="auto"/>
              </w:rPr>
              <w:instrText xml:space="preserve"> HYPERLINK "https://baike.baidu.com/item/%E5%B9%B3%E5%8E%9F/24464" \t "_blank" </w:instrText>
            </w:r>
            <w:r>
              <w:rPr>
                <w:color w:val="auto"/>
              </w:rPr>
              <w:fldChar w:fldCharType="separate"/>
            </w:r>
            <w:r>
              <w:rPr>
                <w:rFonts w:ascii="Times New Roman"/>
                <w:color w:val="auto"/>
              </w:rPr>
              <w:t>平原</w:t>
            </w:r>
            <w:r>
              <w:rPr>
                <w:rFonts w:ascii="Times New Roman"/>
                <w:color w:val="auto"/>
              </w:rPr>
              <w:fldChar w:fldCharType="end"/>
            </w:r>
            <w:r>
              <w:rPr>
                <w:rFonts w:ascii="Times New Roman"/>
                <w:color w:val="auto"/>
                <w:szCs w:val="21"/>
              </w:rPr>
              <w:t>。马鞍岭为全市最高点。地表主要为第四纪基性火山岩和第四系松散沉积物，呈较大面积分布，滨海以滨海台阶式地貌为主，西部以典型的</w:t>
            </w:r>
            <w:r>
              <w:rPr>
                <w:color w:val="auto"/>
              </w:rPr>
              <w:fldChar w:fldCharType="begin"/>
            </w:r>
            <w:r>
              <w:rPr>
                <w:color w:val="auto"/>
              </w:rPr>
              <w:instrText xml:space="preserve"> HYPERLINK "https://baike.baidu.com/item/%E7%81%AB%E5%B1%B1%E5%9C%B0%E8%B2%8C" \t "_blank" </w:instrText>
            </w:r>
            <w:r>
              <w:rPr>
                <w:color w:val="auto"/>
              </w:rPr>
              <w:fldChar w:fldCharType="separate"/>
            </w:r>
            <w:r>
              <w:rPr>
                <w:rFonts w:ascii="Times New Roman"/>
                <w:color w:val="auto"/>
              </w:rPr>
              <w:t>火山地貌</w:t>
            </w:r>
            <w:r>
              <w:rPr>
                <w:rFonts w:ascii="Times New Roman"/>
                <w:color w:val="auto"/>
              </w:rPr>
              <w:fldChar w:fldCharType="end"/>
            </w:r>
            <w:r>
              <w:rPr>
                <w:rFonts w:ascii="Times New Roman"/>
                <w:color w:val="auto"/>
                <w:szCs w:val="21"/>
              </w:rPr>
              <w:t>为主。全市</w:t>
            </w:r>
            <w:r>
              <w:rPr>
                <w:color w:val="auto"/>
              </w:rPr>
              <w:fldChar w:fldCharType="begin"/>
            </w:r>
            <w:r>
              <w:rPr>
                <w:color w:val="auto"/>
              </w:rPr>
              <w:instrText xml:space="preserve"> HYPERLINK "https://baike.baidu.com/item/%E5%9C%B0%E8%B2%8C" \t "_blank" </w:instrText>
            </w:r>
            <w:r>
              <w:rPr>
                <w:color w:val="auto"/>
              </w:rPr>
              <w:fldChar w:fldCharType="separate"/>
            </w:r>
            <w:r>
              <w:rPr>
                <w:rFonts w:ascii="Times New Roman"/>
                <w:color w:val="auto"/>
              </w:rPr>
              <w:t>地貌</w:t>
            </w:r>
            <w:r>
              <w:rPr>
                <w:rFonts w:ascii="Times New Roman"/>
                <w:color w:val="auto"/>
              </w:rPr>
              <w:fldChar w:fldCharType="end"/>
            </w:r>
            <w:r>
              <w:rPr>
                <w:rFonts w:ascii="Times New Roman"/>
                <w:color w:val="auto"/>
                <w:szCs w:val="21"/>
              </w:rPr>
              <w:t>基本分为北部滨海平原区，中部沿江阶地区，东部、南部台地区，西部熔岩台地区。</w:t>
            </w:r>
          </w:p>
          <w:p>
            <w:pPr>
              <w:spacing w:line="360" w:lineRule="auto"/>
              <w:ind w:firstLine="420" w:firstLineChars="200"/>
              <w:rPr>
                <w:rFonts w:ascii="Times New Roman" w:hAnsi="Times New Roman"/>
                <w:color w:val="auto"/>
              </w:rPr>
            </w:pPr>
            <w:r>
              <w:rPr>
                <w:rFonts w:ascii="Times New Roman" w:hAnsi="Times New Roman"/>
                <w:color w:val="auto"/>
              </w:rPr>
              <w:t>文昌市属于低丘台地平原地带，平均海拔高度42.55m，地势由西南内陆向东北沿海倾斜。东北部地势平坦属于平原阶地，海拔在50m以下。西南部地势起伏不平，属于低丘台地，海拔在50~150m之间，超过150m的很少。全市地貌分为：平原阶地、台地、低丘、滨海沙滩、孤丘五大类。</w:t>
            </w:r>
          </w:p>
          <w:p>
            <w:pPr>
              <w:spacing w:line="360" w:lineRule="auto"/>
              <w:ind w:firstLine="422"/>
              <w:rPr>
                <w:rFonts w:ascii="Times New Roman" w:hAnsi="Times New Roman"/>
                <w:b/>
                <w:color w:val="auto"/>
              </w:rPr>
            </w:pPr>
            <w:r>
              <w:rPr>
                <w:rFonts w:ascii="Times New Roman" w:hAnsi="Times New Roman"/>
                <w:b/>
                <w:color w:val="auto"/>
              </w:rPr>
              <w:t>2</w:t>
            </w:r>
            <w:r>
              <w:rPr>
                <w:rFonts w:ascii="Times New Roman"/>
                <w:b/>
                <w:color w:val="auto"/>
              </w:rPr>
              <w:t>、气候</w:t>
            </w:r>
          </w:p>
          <w:p>
            <w:pPr>
              <w:spacing w:line="360" w:lineRule="auto"/>
              <w:ind w:firstLine="420" w:firstLineChars="200"/>
              <w:rPr>
                <w:rFonts w:ascii="Times New Roman"/>
                <w:color w:val="auto"/>
                <w:szCs w:val="21"/>
              </w:rPr>
            </w:pPr>
            <w:r>
              <w:rPr>
                <w:rFonts w:ascii="Times New Roman"/>
                <w:color w:val="auto"/>
                <w:szCs w:val="21"/>
              </w:rPr>
              <w:t>海口市地处低纬度</w:t>
            </w:r>
            <w:r>
              <w:rPr>
                <w:color w:val="auto"/>
              </w:rPr>
              <w:fldChar w:fldCharType="begin"/>
            </w:r>
            <w:r>
              <w:rPr>
                <w:color w:val="auto"/>
              </w:rPr>
              <w:instrText xml:space="preserve"> HYPERLINK "https://baike.baidu.com/item/%E7%83%AD%E5%B8%A6" \t "_blank" </w:instrText>
            </w:r>
            <w:r>
              <w:rPr>
                <w:color w:val="auto"/>
              </w:rPr>
              <w:fldChar w:fldCharType="separate"/>
            </w:r>
            <w:r>
              <w:rPr>
                <w:rFonts w:ascii="Times New Roman"/>
                <w:color w:val="auto"/>
              </w:rPr>
              <w:t>热带</w:t>
            </w:r>
            <w:r>
              <w:rPr>
                <w:rFonts w:ascii="Times New Roman"/>
                <w:color w:val="auto"/>
              </w:rPr>
              <w:fldChar w:fldCharType="end"/>
            </w:r>
            <w:r>
              <w:rPr>
                <w:rFonts w:ascii="Times New Roman"/>
                <w:color w:val="auto"/>
                <w:szCs w:val="21"/>
              </w:rPr>
              <w:t>北缘，属于</w:t>
            </w:r>
            <w:r>
              <w:rPr>
                <w:color w:val="auto"/>
              </w:rPr>
              <w:fldChar w:fldCharType="begin"/>
            </w:r>
            <w:r>
              <w:rPr>
                <w:color w:val="auto"/>
              </w:rPr>
              <w:instrText xml:space="preserve"> HYPERLINK "https://baike.baidu.com/item/%E7%83%AD%E5%B8%A6%E5%AD%A3%E9%A3%8E%E6%B0%94%E5%80%99" \t "_blank" </w:instrText>
            </w:r>
            <w:r>
              <w:rPr>
                <w:color w:val="auto"/>
              </w:rPr>
              <w:fldChar w:fldCharType="separate"/>
            </w:r>
            <w:r>
              <w:rPr>
                <w:rFonts w:ascii="Times New Roman"/>
                <w:color w:val="auto"/>
              </w:rPr>
              <w:t>热带季风气候</w:t>
            </w:r>
            <w:r>
              <w:rPr>
                <w:rFonts w:ascii="Times New Roman"/>
                <w:color w:val="auto"/>
              </w:rPr>
              <w:fldChar w:fldCharType="end"/>
            </w:r>
            <w:r>
              <w:rPr>
                <w:rFonts w:ascii="Times New Roman"/>
                <w:color w:val="auto"/>
                <w:szCs w:val="21"/>
              </w:rPr>
              <w:t>。</w:t>
            </w:r>
            <w:r>
              <w:rPr>
                <w:rFonts w:hint="eastAsia" w:ascii="Times New Roman"/>
                <w:color w:val="auto"/>
                <w:szCs w:val="21"/>
              </w:rPr>
              <w:t>该市</w:t>
            </w:r>
            <w:r>
              <w:rPr>
                <w:rFonts w:ascii="Times New Roman"/>
                <w:color w:val="auto"/>
                <w:szCs w:val="21"/>
              </w:rPr>
              <w:t>冬无严寒，夏无酷暑，四季常青，温暖舒适。全年日照时间长，辐射能量大，年平均日照时数2000小时以上。年平均气温24.3</w:t>
            </w:r>
            <w:r>
              <w:rPr>
                <w:rFonts w:hint="eastAsia" w:ascii="Times New Roman"/>
                <w:color w:val="auto"/>
                <w:szCs w:val="21"/>
              </w:rPr>
              <w:t>℃</w:t>
            </w:r>
            <w:r>
              <w:rPr>
                <w:rFonts w:ascii="Times New Roman"/>
                <w:color w:val="auto"/>
                <w:szCs w:val="21"/>
              </w:rPr>
              <w:t>，最高平均气温28</w:t>
            </w:r>
            <w:r>
              <w:rPr>
                <w:rFonts w:hint="eastAsia" w:ascii="Times New Roman"/>
                <w:color w:val="auto"/>
                <w:szCs w:val="21"/>
              </w:rPr>
              <w:t>℃</w:t>
            </w:r>
            <w:r>
              <w:rPr>
                <w:rFonts w:ascii="Times New Roman"/>
                <w:color w:val="auto"/>
                <w:szCs w:val="21"/>
              </w:rPr>
              <w:t>左右，最低平均气温18</w:t>
            </w:r>
            <w:r>
              <w:rPr>
                <w:rFonts w:hint="eastAsia" w:ascii="Times New Roman"/>
                <w:color w:val="auto"/>
                <w:szCs w:val="21"/>
              </w:rPr>
              <w:t>℃</w:t>
            </w:r>
            <w:r>
              <w:rPr>
                <w:rFonts w:ascii="Times New Roman"/>
                <w:color w:val="auto"/>
                <w:szCs w:val="21"/>
              </w:rPr>
              <w:t>左右。年平均降水量2067</w:t>
            </w:r>
            <w:r>
              <w:rPr>
                <w:rFonts w:hint="eastAsia" w:ascii="Times New Roman"/>
                <w:color w:val="auto"/>
                <w:szCs w:val="21"/>
              </w:rPr>
              <w:t>mm</w:t>
            </w:r>
            <w:r>
              <w:rPr>
                <w:rFonts w:ascii="Times New Roman"/>
                <w:color w:val="auto"/>
                <w:szCs w:val="21"/>
              </w:rPr>
              <w:t>，年平均蒸发量1834</w:t>
            </w:r>
            <w:r>
              <w:rPr>
                <w:rFonts w:hint="eastAsia" w:ascii="Times New Roman"/>
                <w:color w:val="auto"/>
                <w:szCs w:val="21"/>
              </w:rPr>
              <w:t>mm</w:t>
            </w:r>
            <w:r>
              <w:rPr>
                <w:rFonts w:ascii="Times New Roman"/>
                <w:color w:val="auto"/>
                <w:szCs w:val="21"/>
              </w:rPr>
              <w:t>，常年风向以东南风和东北风为主，年平均风速3.4</w:t>
            </w:r>
            <w:r>
              <w:rPr>
                <w:rFonts w:hint="eastAsia" w:ascii="Times New Roman"/>
                <w:color w:val="auto"/>
                <w:szCs w:val="21"/>
              </w:rPr>
              <w:t>m</w:t>
            </w:r>
            <w:r>
              <w:rPr>
                <w:rFonts w:ascii="Times New Roman"/>
                <w:color w:val="auto"/>
                <w:szCs w:val="21"/>
              </w:rPr>
              <w:t>/</w:t>
            </w:r>
            <w:r>
              <w:rPr>
                <w:rFonts w:hint="eastAsia" w:ascii="Times New Roman"/>
                <w:color w:val="auto"/>
                <w:szCs w:val="21"/>
              </w:rPr>
              <w:t>s</w:t>
            </w:r>
            <w:r>
              <w:rPr>
                <w:rFonts w:ascii="Times New Roman"/>
                <w:color w:val="auto"/>
                <w:szCs w:val="21"/>
              </w:rPr>
              <w:t>。</w:t>
            </w:r>
          </w:p>
          <w:p>
            <w:pPr>
              <w:spacing w:line="360" w:lineRule="auto"/>
              <w:ind w:firstLine="420"/>
              <w:rPr>
                <w:rFonts w:ascii="Times New Roman" w:hAnsi="Times New Roman"/>
                <w:color w:val="auto"/>
              </w:rPr>
            </w:pPr>
            <w:r>
              <w:rPr>
                <w:rFonts w:ascii="Times New Roman" w:hAnsi="Times New Roman"/>
                <w:color w:val="auto"/>
              </w:rPr>
              <w:t>文昌市属热带北缘沿海地带，属热带季风岛屿型气候，光、水、湿、热条件优越，全年无霜冻，四季分明。年平均温度23.9℃，多年在23.4～24.4℃之间，年平均日照1953.8h。雨量丰富，但时空分布不均，干、湿季明显，常年降雨量1721.6mm，平均1529.8～1948.6mm，雨季主要集中在5～10月份间的汛期，雨量占全年的80%。</w:t>
            </w:r>
          </w:p>
          <w:p>
            <w:pPr>
              <w:spacing w:line="360" w:lineRule="auto"/>
              <w:ind w:firstLine="422"/>
              <w:rPr>
                <w:rFonts w:ascii="Times New Roman" w:hAnsi="Times New Roman"/>
                <w:b/>
                <w:color w:val="auto"/>
              </w:rPr>
            </w:pPr>
            <w:r>
              <w:rPr>
                <w:rFonts w:ascii="Times New Roman" w:hAnsi="Times New Roman"/>
                <w:b/>
                <w:color w:val="auto"/>
              </w:rPr>
              <w:t>3</w:t>
            </w:r>
            <w:r>
              <w:rPr>
                <w:rFonts w:ascii="Times New Roman"/>
                <w:b/>
                <w:color w:val="auto"/>
              </w:rPr>
              <w:t>、水文</w:t>
            </w:r>
          </w:p>
          <w:p>
            <w:pPr>
              <w:spacing w:line="360" w:lineRule="auto"/>
              <w:ind w:firstLine="420" w:firstLineChars="200"/>
              <w:rPr>
                <w:rFonts w:ascii="Times New Roman"/>
                <w:color w:val="auto"/>
                <w:szCs w:val="21"/>
              </w:rPr>
            </w:pPr>
            <w:r>
              <w:rPr>
                <w:rFonts w:ascii="Times New Roman"/>
                <w:color w:val="auto"/>
                <w:szCs w:val="21"/>
              </w:rPr>
              <w:t>海口市主要河流有17条，其中南渡江水系7条，南渡江干流从海口市西南部</w:t>
            </w:r>
            <w:r>
              <w:rPr>
                <w:color w:val="auto"/>
              </w:rPr>
              <w:fldChar w:fldCharType="begin"/>
            </w:r>
            <w:r>
              <w:rPr>
                <w:color w:val="auto"/>
              </w:rPr>
              <w:instrText xml:space="preserve"> HYPERLINK "https://baike.baidu.com/item/%E4%B8%9C%E5%B1%B1%E9%95%87/2981941" \t "_blank" </w:instrText>
            </w:r>
            <w:r>
              <w:rPr>
                <w:color w:val="auto"/>
              </w:rPr>
              <w:fldChar w:fldCharType="separate"/>
            </w:r>
            <w:r>
              <w:rPr>
                <w:rFonts w:ascii="Times New Roman"/>
                <w:color w:val="auto"/>
              </w:rPr>
              <w:t>东山镇</w:t>
            </w:r>
            <w:r>
              <w:rPr>
                <w:rFonts w:ascii="Times New Roman"/>
                <w:color w:val="auto"/>
              </w:rPr>
              <w:fldChar w:fldCharType="end"/>
            </w:r>
            <w:r>
              <w:rPr>
                <w:rFonts w:ascii="Times New Roman"/>
                <w:color w:val="auto"/>
                <w:szCs w:val="21"/>
              </w:rPr>
              <w:t>流入境内，穿过中部，于北部入海，入海口段从西向东主要分流有海甸溪、横沟河、潭览河、迈雅河和道孟溪。支流有铁炉溪、三十六曲溪、鸭尾溪、昌旺溪（南面溪）、美舍河和响水河；独流入海的有9条，分别为演洲河、五源河、荣山河、演丰东河、演丰西河、罗雅河、芙蓉河、龙昆沟和秀英沟，另外有白石溪流从</w:t>
            </w:r>
            <w:r>
              <w:rPr>
                <w:color w:val="auto"/>
              </w:rPr>
              <w:fldChar w:fldCharType="begin"/>
            </w:r>
            <w:r>
              <w:rPr>
                <w:color w:val="auto"/>
              </w:rPr>
              <w:instrText xml:space="preserve"> HYPERLINK "https://baike.baidu.com/item/%E6%96%87%E6%98%8C%E5%B8%82" \t "_blank" </w:instrText>
            </w:r>
            <w:r>
              <w:rPr>
                <w:color w:val="auto"/>
              </w:rPr>
              <w:fldChar w:fldCharType="separate"/>
            </w:r>
            <w:r>
              <w:rPr>
                <w:rFonts w:ascii="Times New Roman"/>
                <w:color w:val="auto"/>
              </w:rPr>
              <w:t>文昌市</w:t>
            </w:r>
            <w:r>
              <w:rPr>
                <w:rFonts w:ascii="Times New Roman"/>
                <w:color w:val="auto"/>
              </w:rPr>
              <w:fldChar w:fldCharType="end"/>
            </w:r>
            <w:r>
              <w:rPr>
                <w:rFonts w:ascii="Times New Roman"/>
                <w:color w:val="auto"/>
                <w:szCs w:val="21"/>
              </w:rPr>
              <w:t>境内出海。境内还有凤谭、铁炉、东湖、凤圮、云龙、丁荣、岭北、玉凤、沙坡等水库，总库容量15000多万</w:t>
            </w:r>
            <w:r>
              <w:rPr>
                <w:rFonts w:hint="eastAsia" w:ascii="Times New Roman"/>
                <w:color w:val="auto"/>
                <w:szCs w:val="21"/>
              </w:rPr>
              <w:t>m</w:t>
            </w:r>
            <w:r>
              <w:rPr>
                <w:rFonts w:hint="eastAsia" w:ascii="Times New Roman"/>
                <w:color w:val="auto"/>
                <w:szCs w:val="21"/>
                <w:vertAlign w:val="superscript"/>
              </w:rPr>
              <w:t>3</w:t>
            </w:r>
            <w:r>
              <w:rPr>
                <w:rFonts w:ascii="Times New Roman"/>
                <w:color w:val="auto"/>
                <w:szCs w:val="21"/>
              </w:rPr>
              <w:t>。南渡江穿过龙华区东部而入海</w:t>
            </w:r>
            <w:r>
              <w:rPr>
                <w:rFonts w:hint="eastAsia" w:ascii="Times New Roman"/>
                <w:color w:val="auto"/>
                <w:szCs w:val="21"/>
              </w:rPr>
              <w:t>，其</w:t>
            </w:r>
            <w:r>
              <w:rPr>
                <w:rFonts w:ascii="Times New Roman"/>
                <w:color w:val="auto"/>
                <w:szCs w:val="21"/>
              </w:rPr>
              <w:t>主流在龙华区长75</w:t>
            </w:r>
            <w:r>
              <w:rPr>
                <w:rFonts w:hint="eastAsia" w:ascii="Times New Roman"/>
                <w:color w:val="auto"/>
                <w:szCs w:val="21"/>
              </w:rPr>
              <w:t>km</w:t>
            </w:r>
            <w:r>
              <w:rPr>
                <w:rFonts w:ascii="Times New Roman"/>
                <w:color w:val="auto"/>
                <w:szCs w:val="21"/>
              </w:rPr>
              <w:t>，流域面积1300</w:t>
            </w:r>
            <w:r>
              <w:rPr>
                <w:rFonts w:hint="eastAsia" w:ascii="Times New Roman"/>
                <w:color w:val="auto"/>
                <w:szCs w:val="21"/>
              </w:rPr>
              <w:t>km</w:t>
            </w:r>
            <w:r>
              <w:rPr>
                <w:rFonts w:hint="eastAsia" w:ascii="Times New Roman"/>
                <w:color w:val="auto"/>
                <w:szCs w:val="21"/>
                <w:vertAlign w:val="superscript"/>
              </w:rPr>
              <w:t>2</w:t>
            </w:r>
            <w:r>
              <w:rPr>
                <w:rFonts w:ascii="Times New Roman"/>
                <w:color w:val="auto"/>
                <w:szCs w:val="21"/>
              </w:rPr>
              <w:t>，年径流量60.99亿</w:t>
            </w:r>
            <w:r>
              <w:rPr>
                <w:rFonts w:hint="eastAsia" w:ascii="Times New Roman"/>
                <w:color w:val="auto"/>
                <w:szCs w:val="21"/>
              </w:rPr>
              <w:t>m</w:t>
            </w:r>
            <w:r>
              <w:rPr>
                <w:rFonts w:hint="eastAsia" w:ascii="Times New Roman"/>
                <w:color w:val="auto"/>
                <w:szCs w:val="21"/>
                <w:vertAlign w:val="superscript"/>
              </w:rPr>
              <w:t>3</w:t>
            </w:r>
            <w:r>
              <w:rPr>
                <w:rFonts w:ascii="Times New Roman"/>
                <w:color w:val="auto"/>
                <w:szCs w:val="21"/>
              </w:rPr>
              <w:t>。南渡江流经龙华区的支流水系有鸭程溪、昌旺溪、三十六曲溪、铁炉溪。</w:t>
            </w:r>
          </w:p>
          <w:p>
            <w:pPr>
              <w:spacing w:line="360" w:lineRule="auto"/>
              <w:ind w:firstLine="422"/>
              <w:rPr>
                <w:rFonts w:ascii="Times New Roman" w:hAnsi="Times New Roman"/>
                <w:color w:val="auto"/>
                <w:kern w:val="0"/>
              </w:rPr>
            </w:pPr>
            <w:r>
              <w:rPr>
                <w:rFonts w:ascii="Times New Roman" w:hAnsi="Times New Roman"/>
                <w:color w:val="auto"/>
                <w:kern w:val="0"/>
              </w:rPr>
              <w:t>文昌市河流诸多，水源丰富，地下水蕴藏量大。流经文昌市100</w:t>
            </w:r>
            <w:r>
              <w:rPr>
                <w:rFonts w:ascii="Times New Roman" w:hAnsi="Times New Roman"/>
                <w:color w:val="auto"/>
              </w:rPr>
              <w:t>km</w:t>
            </w:r>
            <w:r>
              <w:rPr>
                <w:rFonts w:ascii="Times New Roman" w:hAnsi="Times New Roman"/>
                <w:color w:val="auto"/>
                <w:vertAlign w:val="superscript"/>
              </w:rPr>
              <w:t>2</w:t>
            </w:r>
            <w:r>
              <w:rPr>
                <w:rFonts w:ascii="Times New Roman" w:hAnsi="Times New Roman"/>
                <w:color w:val="auto"/>
                <w:kern w:val="0"/>
              </w:rPr>
              <w:t>以上的河流有文教河、珠溪河、文昌江、石壁河、北水溪五条，100</w:t>
            </w:r>
            <w:r>
              <w:rPr>
                <w:rFonts w:ascii="Times New Roman" w:hAnsi="Times New Roman"/>
                <w:color w:val="auto"/>
              </w:rPr>
              <w:t>km</w:t>
            </w:r>
            <w:r>
              <w:rPr>
                <w:rFonts w:ascii="Times New Roman" w:hAnsi="Times New Roman"/>
                <w:color w:val="auto"/>
                <w:vertAlign w:val="superscript"/>
              </w:rPr>
              <w:t>2</w:t>
            </w:r>
            <w:r>
              <w:rPr>
                <w:rFonts w:ascii="Times New Roman" w:hAnsi="Times New Roman"/>
                <w:color w:val="auto"/>
                <w:kern w:val="0"/>
              </w:rPr>
              <w:t>以下独立出海的小河流有32条，总长556.6km，总流域面积2384.6</w:t>
            </w:r>
            <w:r>
              <w:rPr>
                <w:rFonts w:ascii="Times New Roman" w:hAnsi="Times New Roman"/>
                <w:color w:val="auto"/>
              </w:rPr>
              <w:t>km</w:t>
            </w:r>
            <w:r>
              <w:rPr>
                <w:rFonts w:ascii="Times New Roman" w:hAnsi="Times New Roman"/>
                <w:color w:val="auto"/>
                <w:vertAlign w:val="superscript"/>
              </w:rPr>
              <w:t>2</w:t>
            </w:r>
            <w:r>
              <w:rPr>
                <w:rFonts w:ascii="Times New Roman" w:hAnsi="Times New Roman"/>
                <w:color w:val="auto"/>
                <w:kern w:val="0"/>
              </w:rPr>
              <w:t>。</w:t>
            </w:r>
          </w:p>
          <w:p>
            <w:pPr>
              <w:spacing w:line="360" w:lineRule="auto"/>
              <w:ind w:firstLine="422"/>
              <w:rPr>
                <w:rFonts w:hint="eastAsia" w:ascii="Times New Roman" w:hAnsi="Times New Roman"/>
                <w:color w:val="auto"/>
                <w:kern w:val="0"/>
                <w:lang w:val="en-US" w:eastAsia="zh-CN"/>
              </w:rPr>
            </w:pPr>
            <w:r>
              <w:rPr>
                <w:rFonts w:hint="eastAsia" w:ascii="Times New Roman" w:hAnsi="Times New Roman"/>
                <w:color w:val="auto"/>
                <w:kern w:val="0"/>
                <w:lang w:eastAsia="zh-CN"/>
              </w:rPr>
              <w:t>经</w:t>
            </w:r>
            <w:r>
              <w:rPr>
                <w:rFonts w:hint="eastAsia" w:ascii="Times New Roman" w:hAnsi="Times New Roman"/>
                <w:color w:val="auto"/>
                <w:kern w:val="0"/>
                <w:lang w:val="en-US" w:eastAsia="zh-CN"/>
              </w:rPr>
              <w:t>现场调查，本工程线路跨越东路水库北干渠（6m）1次、大致坡干渠（10m）1次、美浑河（5m）1次、范头湖（80m）1次、演州河（30m）1次、吴仲田水库（245m）1次、演丰河（最宽处15m）3次、三十六曲溪（最宽处360m）5次、南渡江（380m）1次及三桥沟（最宽处45m）4次。线路跨越以上水体时均利用两岸地形一档跨越，不在水体中立塔。</w:t>
            </w:r>
          </w:p>
          <w:p>
            <w:pPr>
              <w:spacing w:line="360" w:lineRule="auto"/>
              <w:ind w:firstLine="422"/>
              <w:rPr>
                <w:rFonts w:ascii="Times New Roman" w:hAnsi="Times New Roman"/>
                <w:b/>
                <w:color w:val="auto"/>
              </w:rPr>
            </w:pPr>
            <w:r>
              <w:rPr>
                <w:rFonts w:ascii="Times New Roman" w:hAnsi="Times New Roman"/>
                <w:b/>
                <w:color w:val="auto"/>
              </w:rPr>
              <w:t>4</w:t>
            </w:r>
            <w:r>
              <w:rPr>
                <w:rFonts w:ascii="Times New Roman"/>
                <w:b/>
                <w:color w:val="auto"/>
              </w:rPr>
              <w:t>、植被、生物多样性</w:t>
            </w:r>
          </w:p>
          <w:p>
            <w:pPr>
              <w:spacing w:line="360" w:lineRule="auto"/>
              <w:ind w:firstLine="420" w:firstLineChars="200"/>
              <w:rPr>
                <w:rFonts w:ascii="Times New Roman"/>
                <w:color w:val="auto"/>
                <w:szCs w:val="21"/>
              </w:rPr>
            </w:pPr>
            <w:r>
              <w:rPr>
                <w:rFonts w:hint="eastAsia" w:ascii="Times New Roman"/>
                <w:color w:val="auto"/>
                <w:szCs w:val="21"/>
              </w:rPr>
              <w:t>海口市</w:t>
            </w:r>
            <w:r>
              <w:rPr>
                <w:rFonts w:ascii="Times New Roman"/>
                <w:color w:val="auto"/>
                <w:szCs w:val="21"/>
              </w:rPr>
              <w:t>境内有野生陆栖脊椎动物199种，其中</w:t>
            </w:r>
            <w:r>
              <w:rPr>
                <w:color w:val="auto"/>
              </w:rPr>
              <w:fldChar w:fldCharType="begin"/>
            </w:r>
            <w:r>
              <w:rPr>
                <w:color w:val="auto"/>
              </w:rPr>
              <w:instrText xml:space="preserve"> HYPERLINK "https://baike.baidu.com/item/%E7%BA%A2%E8%83%B8%E8%A7%92%E9%9B%89" \t "_blank" </w:instrText>
            </w:r>
            <w:r>
              <w:rPr>
                <w:color w:val="auto"/>
              </w:rPr>
              <w:fldChar w:fldCharType="separate"/>
            </w:r>
            <w:r>
              <w:rPr>
                <w:rFonts w:ascii="Times New Roman"/>
                <w:color w:val="auto"/>
              </w:rPr>
              <w:t>红胸角雉</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"https://baike.baidu.com/item/%E5%B1%B1%E9%B9%A7%E9%B8%AA" \t "_blank" </w:instrText>
            </w:r>
            <w:r>
              <w:rPr>
                <w:color w:val="auto"/>
              </w:rPr>
              <w:fldChar w:fldCharType="separate"/>
            </w:r>
            <w:r>
              <w:rPr>
                <w:rFonts w:ascii="Times New Roman"/>
                <w:color w:val="auto"/>
              </w:rPr>
              <w:t>山鹧鸪</w:t>
            </w:r>
            <w:r>
              <w:rPr>
                <w:rFonts w:ascii="Times New Roman"/>
                <w:color w:val="auto"/>
              </w:rPr>
              <w:fldChar w:fldCharType="end"/>
            </w:r>
            <w:r>
              <w:rPr>
                <w:rFonts w:ascii="Times New Roman"/>
                <w:color w:val="auto"/>
                <w:szCs w:val="21"/>
              </w:rPr>
              <w:t>、海南虎鹭等5种为海南特有种；列入国家一、二类重点保护名录的有</w:t>
            </w:r>
            <w:r>
              <w:rPr>
                <w:color w:val="auto"/>
              </w:rPr>
              <w:fldChar w:fldCharType="begin"/>
            </w:r>
            <w:r>
              <w:rPr>
                <w:color w:val="auto"/>
              </w:rPr>
              <w:instrText xml:space="preserve"> HYPERLINK "https://baike.baidu.com/item/%E8%9F%92%E8%9B%87/455189" \t "_blank" </w:instrText>
            </w:r>
            <w:r>
              <w:rPr>
                <w:color w:val="auto"/>
              </w:rPr>
              <w:fldChar w:fldCharType="separate"/>
            </w:r>
            <w:r>
              <w:rPr>
                <w:rFonts w:ascii="Times New Roman"/>
                <w:color w:val="auto"/>
              </w:rPr>
              <w:t>蟒蛇</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"https://baike.baidu.com/item/%E5%94%90%E9%B1%BC" \t "_blank" </w:instrText>
            </w:r>
            <w:r>
              <w:rPr>
                <w:color w:val="auto"/>
              </w:rPr>
              <w:fldChar w:fldCharType="separate"/>
            </w:r>
            <w:r>
              <w:rPr>
                <w:rFonts w:ascii="Times New Roman"/>
                <w:color w:val="auto"/>
              </w:rPr>
              <w:t>唐鱼</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"https://baike.baidu.com/item/%E6%B5%B7%E5%8D%97%E5%B1%B1%E9%B9%A7%E9%B8%AA" \t "_blank" </w:instrText>
            </w:r>
            <w:r>
              <w:rPr>
                <w:color w:val="auto"/>
              </w:rPr>
              <w:fldChar w:fldCharType="separate"/>
            </w:r>
            <w:r>
              <w:rPr>
                <w:rFonts w:ascii="Times New Roman"/>
                <w:color w:val="auto"/>
              </w:rPr>
              <w:t>海南山鹧鸪</w:t>
            </w:r>
            <w:r>
              <w:rPr>
                <w:rFonts w:ascii="Times New Roman"/>
                <w:color w:val="auto"/>
              </w:rPr>
              <w:fldChar w:fldCharType="end"/>
            </w:r>
            <w:r>
              <w:rPr>
                <w:rFonts w:ascii="Times New Roman"/>
                <w:color w:val="auto"/>
                <w:szCs w:val="21"/>
              </w:rPr>
              <w:t>等13种。海洋渔业资源主要有鱼类、虾类、蟹类、贝类等。其中鱼类有 100 多种，常见且质优的鱼类有</w:t>
            </w:r>
            <w:r>
              <w:rPr>
                <w:color w:val="auto"/>
              </w:rPr>
              <w:fldChar w:fldCharType="begin"/>
            </w:r>
            <w:r>
              <w:rPr>
                <w:color w:val="auto"/>
              </w:rPr>
              <w:instrText xml:space="preserve"> HYPERLINK "https://baike.baidu.com/item/%E9%A9%AC%E9%B2%9B%E9%B1%BC" \t "_blank" </w:instrText>
            </w:r>
            <w:r>
              <w:rPr>
                <w:color w:val="auto"/>
              </w:rPr>
              <w:fldChar w:fldCharType="separate"/>
            </w:r>
            <w:r>
              <w:rPr>
                <w:rFonts w:ascii="Times New Roman"/>
                <w:color w:val="auto"/>
              </w:rPr>
              <w:t>马鲛鱼</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"https://baike.baidu.com/item/%E9%BB%84%E8%8A%B1%E9%B1%BC" \t "_blank" </w:instrText>
            </w:r>
            <w:r>
              <w:rPr>
                <w:color w:val="auto"/>
              </w:rPr>
              <w:fldChar w:fldCharType="separate"/>
            </w:r>
            <w:r>
              <w:rPr>
                <w:rFonts w:ascii="Times New Roman"/>
                <w:color w:val="auto"/>
              </w:rPr>
              <w:t>黄花鱼</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"https://baike.baidu.com/item/%E9%B2%BB" \t "_blank" </w:instrText>
            </w:r>
            <w:r>
              <w:rPr>
                <w:color w:val="auto"/>
              </w:rPr>
              <w:fldChar w:fldCharType="separate"/>
            </w:r>
            <w:r>
              <w:rPr>
                <w:rFonts w:ascii="Times New Roman"/>
                <w:color w:val="auto"/>
              </w:rPr>
              <w:t>鲻</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"https://baike.baidu.com/item/%E9%87%91%E7%BA%BF%E9%B1%BC/684522" \t "_blank" </w:instrText>
            </w:r>
            <w:r>
              <w:rPr>
                <w:color w:val="auto"/>
              </w:rPr>
              <w:fldChar w:fldCharType="separate"/>
            </w:r>
            <w:r>
              <w:rPr>
                <w:rFonts w:ascii="Times New Roman"/>
                <w:color w:val="auto"/>
              </w:rPr>
              <w:t>金线鱼</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"https://baike.baidu.com/item/%E7%9F%B3%E6%96%91%E9%B1%BC/425506" \t "_blank" </w:instrText>
            </w:r>
            <w:r>
              <w:rPr>
                <w:color w:val="auto"/>
              </w:rPr>
              <w:fldChar w:fldCharType="separate"/>
            </w:r>
            <w:r>
              <w:rPr>
                <w:rFonts w:ascii="Times New Roman"/>
                <w:color w:val="auto"/>
              </w:rPr>
              <w:t>石斑鱼</w:t>
            </w:r>
            <w:r>
              <w:rPr>
                <w:rFonts w:ascii="Times New Roman"/>
                <w:color w:val="auto"/>
              </w:rPr>
              <w:fldChar w:fldCharType="end"/>
            </w:r>
            <w:r>
              <w:rPr>
                <w:rFonts w:ascii="Times New Roman"/>
                <w:color w:val="auto"/>
                <w:szCs w:val="21"/>
              </w:rPr>
              <w:t>、海鲤鱼等；虾类有</w:t>
            </w:r>
            <w:r>
              <w:rPr>
                <w:color w:val="auto"/>
              </w:rPr>
              <w:fldChar w:fldCharType="begin"/>
            </w:r>
            <w:r>
              <w:rPr>
                <w:color w:val="auto"/>
              </w:rPr>
              <w:instrText xml:space="preserve"> HYPERLINK "https://baike.baidu.com/item/%E6%96%91%E8%8A%82%E5%AF%B9%E8%99%BE" \t "_blank" </w:instrText>
            </w:r>
            <w:r>
              <w:rPr>
                <w:color w:val="auto"/>
              </w:rPr>
              <w:fldChar w:fldCharType="separate"/>
            </w:r>
            <w:r>
              <w:rPr>
                <w:rFonts w:ascii="Times New Roman"/>
                <w:color w:val="auto"/>
              </w:rPr>
              <w:t>斑节对虾</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"https://baike.baidu.com/item/%E6%B2%99%E8%99%BE" \t "_blank" </w:instrText>
            </w:r>
            <w:r>
              <w:rPr>
                <w:color w:val="auto"/>
              </w:rPr>
              <w:fldChar w:fldCharType="separate"/>
            </w:r>
            <w:r>
              <w:rPr>
                <w:rFonts w:ascii="Times New Roman"/>
                <w:color w:val="auto"/>
              </w:rPr>
              <w:t>沙虾</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"https://baike.baidu.com/item/%E9%9D%92%E8%99%BE" \t "_blank" </w:instrText>
            </w:r>
            <w:r>
              <w:rPr>
                <w:color w:val="auto"/>
              </w:rPr>
              <w:fldChar w:fldCharType="separate"/>
            </w:r>
            <w:r>
              <w:rPr>
                <w:rFonts w:ascii="Times New Roman"/>
                <w:color w:val="auto"/>
              </w:rPr>
              <w:t>青虾</w:t>
            </w:r>
            <w:r>
              <w:rPr>
                <w:rFonts w:ascii="Times New Roman"/>
                <w:color w:val="auto"/>
              </w:rPr>
              <w:fldChar w:fldCharType="end"/>
            </w:r>
            <w:r>
              <w:rPr>
                <w:rFonts w:ascii="Times New Roman"/>
                <w:color w:val="auto"/>
                <w:szCs w:val="21"/>
              </w:rPr>
              <w:t>等；蟹类有</w:t>
            </w:r>
            <w:r>
              <w:rPr>
                <w:color w:val="auto"/>
              </w:rPr>
              <w:fldChar w:fldCharType="begin"/>
            </w:r>
            <w:r>
              <w:rPr>
                <w:color w:val="auto"/>
              </w:rPr>
              <w:instrText xml:space="preserve"> HYPERLINK "https://baike.baidu.com/item/%E9%94%AF%E7%BC%98%E9%9D%92%E8%9F%B9" \t "_blank" </w:instrText>
            </w:r>
            <w:r>
              <w:rPr>
                <w:color w:val="auto"/>
              </w:rPr>
              <w:fldChar w:fldCharType="separate"/>
            </w:r>
            <w:r>
              <w:rPr>
                <w:rFonts w:ascii="Times New Roman"/>
                <w:color w:val="auto"/>
              </w:rPr>
              <w:t>锯缘青蟹</w:t>
            </w:r>
            <w:r>
              <w:rPr>
                <w:rFonts w:ascii="Times New Roman"/>
                <w:color w:val="auto"/>
              </w:rPr>
              <w:fldChar w:fldCharType="end"/>
            </w:r>
            <w:r>
              <w:rPr>
                <w:rFonts w:ascii="Times New Roman"/>
                <w:color w:val="auto"/>
                <w:szCs w:val="21"/>
              </w:rPr>
              <w:t>、小蟹、</w:t>
            </w:r>
            <w:r>
              <w:rPr>
                <w:color w:val="auto"/>
              </w:rPr>
              <w:fldChar w:fldCharType="begin"/>
            </w:r>
            <w:r>
              <w:rPr>
                <w:color w:val="auto"/>
              </w:rPr>
              <w:instrText xml:space="preserve"> HYPERLINK "https://baike.baidu.com/item/%E8%8A%B1%E8%9F%B9" \t "_blank" </w:instrText>
            </w:r>
            <w:r>
              <w:rPr>
                <w:color w:val="auto"/>
              </w:rPr>
              <w:fldChar w:fldCharType="separate"/>
            </w:r>
            <w:r>
              <w:rPr>
                <w:rFonts w:ascii="Times New Roman"/>
                <w:color w:val="auto"/>
              </w:rPr>
              <w:t>花蟹</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"https://baike.baidu.com/item/%E8%86%8F%E8%9F%B9" \t "_blank" </w:instrText>
            </w:r>
            <w:r>
              <w:rPr>
                <w:color w:val="auto"/>
              </w:rPr>
              <w:fldChar w:fldCharType="separate"/>
            </w:r>
            <w:r>
              <w:rPr>
                <w:rFonts w:ascii="Times New Roman"/>
                <w:color w:val="auto"/>
              </w:rPr>
              <w:t>膏蟹</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"https://baike.baidu.com/item/%E6%A2%AD%E5%AD%90%E8%9F%B9" \t "_blank" </w:instrText>
            </w:r>
            <w:r>
              <w:rPr>
                <w:color w:val="auto"/>
              </w:rPr>
              <w:fldChar w:fldCharType="separate"/>
            </w:r>
            <w:r>
              <w:rPr>
                <w:rFonts w:ascii="Times New Roman"/>
                <w:color w:val="auto"/>
              </w:rPr>
              <w:t>梭子蟹</w:t>
            </w:r>
            <w:r>
              <w:rPr>
                <w:rFonts w:ascii="Times New Roman"/>
                <w:color w:val="auto"/>
              </w:rPr>
              <w:fldChar w:fldCharType="end"/>
            </w:r>
            <w:r>
              <w:rPr>
                <w:rFonts w:ascii="Times New Roman"/>
                <w:color w:val="auto"/>
                <w:szCs w:val="21"/>
              </w:rPr>
              <w:t>等；头足类与贝类有</w:t>
            </w:r>
            <w:r>
              <w:rPr>
                <w:color w:val="auto"/>
              </w:rPr>
              <w:fldChar w:fldCharType="begin"/>
            </w:r>
            <w:r>
              <w:rPr>
                <w:color w:val="auto"/>
              </w:rPr>
              <w:instrText xml:space="preserve"> HYPERLINK "https://baike.baidu.com/item/%E4%B9%8C%E8%B4%BC/1201408" \t "_blank" </w:instrText>
            </w:r>
            <w:r>
              <w:rPr>
                <w:color w:val="auto"/>
              </w:rPr>
              <w:fldChar w:fldCharType="separate"/>
            </w:r>
            <w:r>
              <w:rPr>
                <w:rFonts w:ascii="Times New Roman"/>
                <w:color w:val="auto"/>
              </w:rPr>
              <w:t>乌贼</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"https://baike.baidu.com/item/%E5%A2%A8%E9%B1%BC" \t "_blank" </w:instrText>
            </w:r>
            <w:r>
              <w:rPr>
                <w:color w:val="auto"/>
              </w:rPr>
              <w:fldChar w:fldCharType="separate"/>
            </w:r>
            <w:r>
              <w:rPr>
                <w:rFonts w:ascii="Times New Roman"/>
                <w:color w:val="auto"/>
              </w:rPr>
              <w:t>墨鱼</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"https://baike.baidu.com/item/%E9%B2%8D%E9%B1%BC" \t "_blank" </w:instrText>
            </w:r>
            <w:r>
              <w:rPr>
                <w:color w:val="auto"/>
              </w:rPr>
              <w:fldChar w:fldCharType="separate"/>
            </w:r>
            <w:r>
              <w:rPr>
                <w:rFonts w:ascii="Times New Roman"/>
                <w:color w:val="auto"/>
              </w:rPr>
              <w:t>鲍鱼</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"https://baike.baidu.com/item/%E6%B3%A5%E8%9A%B6" \t "_blank" </w:instrText>
            </w:r>
            <w:r>
              <w:rPr>
                <w:color w:val="auto"/>
              </w:rPr>
              <w:fldChar w:fldCharType="separate"/>
            </w:r>
            <w:r>
              <w:rPr>
                <w:rFonts w:ascii="Times New Roman"/>
                <w:color w:val="auto"/>
              </w:rPr>
              <w:t>泥蚶</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"https://baike.baidu.com/item/%E7%89%A1%E8%9B%8E" \t "_blank" </w:instrText>
            </w:r>
            <w:r>
              <w:rPr>
                <w:color w:val="auto"/>
              </w:rPr>
              <w:fldChar w:fldCharType="separate"/>
            </w:r>
            <w:r>
              <w:rPr>
                <w:rFonts w:ascii="Times New Roman"/>
                <w:color w:val="auto"/>
              </w:rPr>
              <w:t>牡蛎</w:t>
            </w:r>
            <w:r>
              <w:rPr>
                <w:rFonts w:ascii="Times New Roman"/>
                <w:color w:val="auto"/>
              </w:rPr>
              <w:fldChar w:fldCharType="end"/>
            </w:r>
            <w:r>
              <w:rPr>
                <w:rFonts w:ascii="Times New Roman"/>
                <w:color w:val="auto"/>
                <w:szCs w:val="21"/>
              </w:rPr>
              <w:t>等；大型藻类主要为长茎</w:t>
            </w:r>
            <w:r>
              <w:rPr>
                <w:color w:val="auto"/>
              </w:rPr>
              <w:fldChar w:fldCharType="begin"/>
            </w:r>
            <w:r>
              <w:rPr>
                <w:color w:val="auto"/>
              </w:rPr>
              <w:instrText xml:space="preserve"> HYPERLINK "https://baike.baidu.com/item/%E8%95%A8%E8%97%BB" \t "_blank" </w:instrText>
            </w:r>
            <w:r>
              <w:rPr>
                <w:color w:val="auto"/>
              </w:rPr>
              <w:fldChar w:fldCharType="separate"/>
            </w:r>
            <w:r>
              <w:rPr>
                <w:rFonts w:ascii="Times New Roman"/>
                <w:color w:val="auto"/>
              </w:rPr>
              <w:t>蕨藻</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"https://baike.baidu.com/item/%E9%BA%92%E9%BA%9F%E8%8F%9C/10830013" \t "_blank" </w:instrText>
            </w:r>
            <w:r>
              <w:rPr>
                <w:color w:val="auto"/>
              </w:rPr>
              <w:fldChar w:fldCharType="separate"/>
            </w:r>
            <w:r>
              <w:rPr>
                <w:rFonts w:ascii="Times New Roman"/>
                <w:color w:val="auto"/>
              </w:rPr>
              <w:t>麒麟菜</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"https://baike.baidu.com/item/%E9%A9%AC%E5%B0%BE%E8%97%BB" \t "_blank" </w:instrText>
            </w:r>
            <w:r>
              <w:rPr>
                <w:color w:val="auto"/>
              </w:rPr>
              <w:fldChar w:fldCharType="separate"/>
            </w:r>
            <w:r>
              <w:rPr>
                <w:rFonts w:ascii="Times New Roman"/>
                <w:color w:val="auto"/>
              </w:rPr>
              <w:t>马尾藻</w:t>
            </w:r>
            <w:r>
              <w:rPr>
                <w:rFonts w:ascii="Times New Roman"/>
                <w:color w:val="auto"/>
              </w:rPr>
              <w:fldChar w:fldCharType="end"/>
            </w:r>
            <w:r>
              <w:rPr>
                <w:rFonts w:ascii="Times New Roman"/>
                <w:color w:val="auto"/>
                <w:szCs w:val="21"/>
              </w:rPr>
              <w:t>等；传统药用海洋生物有</w:t>
            </w:r>
            <w:r>
              <w:rPr>
                <w:color w:val="auto"/>
              </w:rPr>
              <w:fldChar w:fldCharType="begin"/>
            </w:r>
            <w:r>
              <w:rPr>
                <w:color w:val="auto"/>
              </w:rPr>
              <w:instrText xml:space="preserve"> HYPERLINK "https://baike.baidu.com/item/%E6%B5%B7%E8%9B%87/1181586" \t "_blank" </w:instrText>
            </w:r>
            <w:r>
              <w:rPr>
                <w:color w:val="auto"/>
              </w:rPr>
              <w:fldChar w:fldCharType="separate"/>
            </w:r>
            <w:r>
              <w:rPr>
                <w:rFonts w:ascii="Times New Roman"/>
                <w:color w:val="auto"/>
              </w:rPr>
              <w:t>海蛇</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"https://baike.baidu.com/item/%E6%B5%B7%E9%A9%AC/76" \t "_blank" </w:instrText>
            </w:r>
            <w:r>
              <w:rPr>
                <w:color w:val="auto"/>
              </w:rPr>
              <w:fldChar w:fldCharType="separate"/>
            </w:r>
            <w:r>
              <w:rPr>
                <w:rFonts w:ascii="Times New Roman"/>
                <w:color w:val="auto"/>
              </w:rPr>
              <w:t>海马</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"https://baike.baidu.com/item/%E6%B5%B7%E9%BE%99/3886" \t "_blank" </w:instrText>
            </w:r>
            <w:r>
              <w:rPr>
                <w:color w:val="auto"/>
              </w:rPr>
              <w:fldChar w:fldCharType="separate"/>
            </w:r>
            <w:r>
              <w:rPr>
                <w:rFonts w:ascii="Times New Roman"/>
                <w:color w:val="auto"/>
              </w:rPr>
              <w:t>海龙</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"https://baike.baidu.com/item/%E6%B5%B7%E5%8F%82" \t "_blank" </w:instrText>
            </w:r>
            <w:r>
              <w:rPr>
                <w:color w:val="auto"/>
              </w:rPr>
              <w:fldChar w:fldCharType="separate"/>
            </w:r>
            <w:r>
              <w:rPr>
                <w:rFonts w:ascii="Times New Roman"/>
                <w:color w:val="auto"/>
              </w:rPr>
              <w:t>海参</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"https://baike.baidu.com/item/%E6%B5%B7%E8%83%86/16688213" \t "_blank" </w:instrText>
            </w:r>
            <w:r>
              <w:rPr>
                <w:color w:val="auto"/>
              </w:rPr>
              <w:fldChar w:fldCharType="separate"/>
            </w:r>
            <w:r>
              <w:rPr>
                <w:rFonts w:ascii="Times New Roman"/>
                <w:color w:val="auto"/>
              </w:rPr>
              <w:t>海胆</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"https://baike.baidu.com/item/%E6%B5%B7%E6%98%9F/33491" \t "_blank" </w:instrText>
            </w:r>
            <w:r>
              <w:rPr>
                <w:color w:val="auto"/>
              </w:rPr>
              <w:fldChar w:fldCharType="separate"/>
            </w:r>
            <w:r>
              <w:rPr>
                <w:rFonts w:ascii="Times New Roman"/>
                <w:color w:val="auto"/>
              </w:rPr>
              <w:t>海星</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"https://baike.baidu.com/item/%E6%B5%B7%E5%85%94/1337933" \t "_blank" </w:instrText>
            </w:r>
            <w:r>
              <w:rPr>
                <w:color w:val="auto"/>
              </w:rPr>
              <w:fldChar w:fldCharType="separate"/>
            </w:r>
            <w:r>
              <w:rPr>
                <w:rFonts w:ascii="Times New Roman"/>
                <w:color w:val="auto"/>
              </w:rPr>
              <w:t>海兔</w:t>
            </w:r>
            <w:r>
              <w:rPr>
                <w:rFonts w:ascii="Times New Roman"/>
                <w:color w:val="auto"/>
              </w:rPr>
              <w:fldChar w:fldCharType="end"/>
            </w:r>
            <w:r>
              <w:rPr>
                <w:rFonts w:ascii="Times New Roman"/>
                <w:color w:val="auto"/>
                <w:szCs w:val="21"/>
              </w:rPr>
              <w:t>等。</w:t>
            </w:r>
          </w:p>
          <w:p>
            <w:pPr>
              <w:spacing w:line="360" w:lineRule="auto"/>
              <w:ind w:firstLine="420" w:firstLineChars="200"/>
              <w:rPr>
                <w:rFonts w:ascii="Times New Roman"/>
                <w:color w:val="auto"/>
              </w:rPr>
            </w:pPr>
            <w:r>
              <w:rPr>
                <w:rFonts w:ascii="Times New Roman"/>
                <w:color w:val="auto"/>
                <w:szCs w:val="21"/>
              </w:rPr>
              <w:t>海口市处在全国</w:t>
            </w:r>
            <w:r>
              <w:rPr>
                <w:color w:val="auto"/>
              </w:rPr>
              <w:fldChar w:fldCharType="begin"/>
            </w:r>
            <w:r>
              <w:rPr>
                <w:color w:val="auto"/>
              </w:rPr>
              <w:instrText xml:space="preserve"> HYPERLINK "https://baike.baidu.com/item/%E6%A9%A1%E8%83%B6" \t "_blank" </w:instrText>
            </w:r>
            <w:r>
              <w:rPr>
                <w:color w:val="auto"/>
              </w:rPr>
              <w:fldChar w:fldCharType="separate"/>
            </w:r>
            <w:r>
              <w:rPr>
                <w:rFonts w:ascii="Times New Roman"/>
                <w:color w:val="auto"/>
              </w:rPr>
              <w:t>橡胶</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"https://baike.baidu.com/item/%E8%83%A1%E6%A4%92/405754" \t "_blank" </w:instrText>
            </w:r>
            <w:r>
              <w:rPr>
                <w:color w:val="auto"/>
              </w:rPr>
              <w:fldChar w:fldCharType="separate"/>
            </w:r>
            <w:r>
              <w:rPr>
                <w:rFonts w:ascii="Times New Roman"/>
                <w:color w:val="auto"/>
              </w:rPr>
              <w:t>胡椒</w:t>
            </w:r>
            <w:r>
              <w:rPr>
                <w:rFonts w:ascii="Times New Roman"/>
                <w:color w:val="auto"/>
              </w:rPr>
              <w:fldChar w:fldCharType="end"/>
            </w:r>
            <w:r>
              <w:rPr>
                <w:rFonts w:ascii="Times New Roman"/>
                <w:color w:val="auto"/>
                <w:szCs w:val="21"/>
              </w:rPr>
              <w:t>等</w:t>
            </w:r>
            <w:r>
              <w:rPr>
                <w:color w:val="auto"/>
              </w:rPr>
              <w:fldChar w:fldCharType="begin"/>
            </w:r>
            <w:r>
              <w:rPr>
                <w:color w:val="auto"/>
              </w:rPr>
              <w:instrText xml:space="preserve"> HYPERLINK "https://baike.baidu.com/item/%E7%83%AD%E5%B8%A6%E7%BB%8F%E6%B5%8E%E4%BD%9C%E7%89%A9" \t "_blank" </w:instrText>
            </w:r>
            <w:r>
              <w:rPr>
                <w:color w:val="auto"/>
              </w:rPr>
              <w:fldChar w:fldCharType="separate"/>
            </w:r>
            <w:r>
              <w:rPr>
                <w:rFonts w:ascii="Times New Roman"/>
                <w:color w:val="auto"/>
              </w:rPr>
              <w:t>热带经济作物</w:t>
            </w:r>
            <w:r>
              <w:rPr>
                <w:rFonts w:ascii="Times New Roman"/>
                <w:color w:val="auto"/>
              </w:rPr>
              <w:fldChar w:fldCharType="end"/>
            </w:r>
            <w:r>
              <w:rPr>
                <w:rFonts w:ascii="Times New Roman"/>
                <w:color w:val="auto"/>
                <w:szCs w:val="21"/>
              </w:rPr>
              <w:t>产区，拥有林地9.58万公顷，约占土地面积的42%。地上有野生植物1980种，其中海南特有的有40多种，被列为国家一级保护植物的有</w:t>
            </w:r>
            <w:r>
              <w:rPr>
                <w:color w:val="auto"/>
              </w:rPr>
              <w:fldChar w:fldCharType="begin"/>
            </w:r>
            <w:r>
              <w:rPr>
                <w:color w:val="auto"/>
              </w:rPr>
              <w:instrText xml:space="preserve"> HYPERLINK "https://baike.baidu.com/item/%E8%8B%8F%E9%93%81" \t "_blank" </w:instrText>
            </w:r>
            <w:r>
              <w:rPr>
                <w:color w:val="auto"/>
              </w:rPr>
              <w:fldChar w:fldCharType="separate"/>
            </w:r>
            <w:r>
              <w:rPr>
                <w:rFonts w:ascii="Times New Roman"/>
                <w:color w:val="auto"/>
              </w:rPr>
              <w:t>苏铁</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"https://baike.baidu.com/item/%E5%9D%A1%E5%9E%92" \t "_blank" </w:instrText>
            </w:r>
            <w:r>
              <w:rPr>
                <w:color w:val="auto"/>
              </w:rPr>
              <w:fldChar w:fldCharType="separate"/>
            </w:r>
            <w:r>
              <w:rPr>
                <w:rFonts w:ascii="Times New Roman"/>
                <w:color w:val="auto"/>
              </w:rPr>
              <w:t>坡垒</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"https://baike.baidu.com/item/%E6%B5%B7%E5%8D%97%E9%BB%84%E8%8A%B1%E6%A2%A8" \t "_blank" </w:instrText>
            </w:r>
            <w:r>
              <w:rPr>
                <w:color w:val="auto"/>
              </w:rPr>
              <w:fldChar w:fldCharType="separate"/>
            </w:r>
            <w:r>
              <w:rPr>
                <w:rFonts w:ascii="Times New Roman"/>
                <w:color w:val="auto"/>
              </w:rPr>
              <w:t>海南黄花梨</w:t>
            </w:r>
            <w:r>
              <w:rPr>
                <w:rFonts w:ascii="Times New Roman"/>
                <w:color w:val="auto"/>
              </w:rPr>
              <w:fldChar w:fldCharType="end"/>
            </w:r>
            <w:r>
              <w:rPr>
                <w:rFonts w:ascii="Times New Roman"/>
                <w:color w:val="auto"/>
                <w:szCs w:val="21"/>
              </w:rPr>
              <w:t>等3种；国家二级保护植物的有</w:t>
            </w:r>
            <w:r>
              <w:rPr>
                <w:color w:val="auto"/>
              </w:rPr>
              <w:fldChar w:fldCharType="begin"/>
            </w:r>
            <w:r>
              <w:rPr>
                <w:color w:val="auto"/>
              </w:rPr>
              <w:instrText xml:space="preserve"> HYPERLINK "https://baike.baidu.com/item/%E9%BB%84%E6%AA%80" \t "_blank" </w:instrText>
            </w:r>
            <w:r>
              <w:rPr>
                <w:color w:val="auto"/>
              </w:rPr>
              <w:fldChar w:fldCharType="separate"/>
            </w:r>
            <w:r>
              <w:rPr>
                <w:rFonts w:ascii="Times New Roman"/>
                <w:color w:val="auto"/>
              </w:rPr>
              <w:t>黄檀</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"https://baike.baidu.com/item/%E7%B2%97%E6%A6%A7" \t "_blank" </w:instrText>
            </w:r>
            <w:r>
              <w:rPr>
                <w:color w:val="auto"/>
              </w:rPr>
              <w:fldChar w:fldCharType="separate"/>
            </w:r>
            <w:r>
              <w:rPr>
                <w:rFonts w:ascii="Times New Roman"/>
                <w:color w:val="auto"/>
              </w:rPr>
              <w:t>粗榧</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"https://baike.baidu.com/item/%E5%9C%9F%E6%B2%89%E9%A6%99/2306028" \t "_blank" </w:instrText>
            </w:r>
            <w:r>
              <w:rPr>
                <w:color w:val="auto"/>
              </w:rPr>
              <w:fldChar w:fldCharType="separate"/>
            </w:r>
            <w:r>
              <w:rPr>
                <w:rFonts w:ascii="Times New Roman"/>
                <w:color w:val="auto"/>
              </w:rPr>
              <w:t>土沉香</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"https://baike.baidu.com/item/%E8%A7%81%E8%A1%80%E5%B0%81%E5%96%89/95972" \t "_blank" </w:instrText>
            </w:r>
            <w:r>
              <w:rPr>
                <w:color w:val="auto"/>
              </w:rPr>
              <w:fldChar w:fldCharType="separate"/>
            </w:r>
            <w:r>
              <w:rPr>
                <w:rFonts w:ascii="Times New Roman"/>
                <w:color w:val="auto"/>
              </w:rPr>
              <w:t>见血封喉</w:t>
            </w:r>
            <w:r>
              <w:rPr>
                <w:rFonts w:ascii="Times New Roman"/>
                <w:color w:val="auto"/>
              </w:rPr>
              <w:fldChar w:fldCharType="end"/>
            </w:r>
            <w:r>
              <w:rPr>
                <w:rFonts w:ascii="Times New Roman"/>
                <w:color w:val="auto"/>
                <w:szCs w:val="21"/>
              </w:rPr>
              <w:t>等10多种。乔木、灌木180多种，其中80多种属经济价值较高的树种，诸如</w:t>
            </w:r>
            <w:r>
              <w:rPr>
                <w:color w:val="auto"/>
              </w:rPr>
              <w:fldChar w:fldCharType="begin"/>
            </w:r>
            <w:r>
              <w:rPr>
                <w:color w:val="auto"/>
              </w:rPr>
              <w:instrText xml:space="preserve"> HYPERLINK "https://baike.baidu.com/item/%E6%A9%A1%E8%83%B6" \t "_blank" </w:instrText>
            </w:r>
            <w:r>
              <w:rPr>
                <w:color w:val="auto"/>
              </w:rPr>
              <w:fldChar w:fldCharType="separate"/>
            </w:r>
            <w:r>
              <w:rPr>
                <w:rFonts w:ascii="Times New Roman"/>
                <w:color w:val="auto"/>
              </w:rPr>
              <w:t>橡胶</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"https://baike.baidu.com/item/%E6%A4%B0%E5%AD%90/68499" \t "_blank" </w:instrText>
            </w:r>
            <w:r>
              <w:rPr>
                <w:color w:val="auto"/>
              </w:rPr>
              <w:fldChar w:fldCharType="separate"/>
            </w:r>
            <w:r>
              <w:rPr>
                <w:rFonts w:ascii="Times New Roman"/>
                <w:color w:val="auto"/>
              </w:rPr>
              <w:t>椰子</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"https://baike.baidu.com/item/%E6%A3%95%E6%A6%88/623905" \t "_blank" </w:instrText>
            </w:r>
            <w:r>
              <w:rPr>
                <w:color w:val="auto"/>
              </w:rPr>
              <w:fldChar w:fldCharType="separate"/>
            </w:r>
            <w:r>
              <w:rPr>
                <w:rFonts w:ascii="Times New Roman"/>
                <w:color w:val="auto"/>
              </w:rPr>
              <w:t>棕榈</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"https://baike.baidu.com/item/%E9%BE%99%E7%9C%BC/39025" \t "_blank" </w:instrText>
            </w:r>
            <w:r>
              <w:rPr>
                <w:color w:val="auto"/>
              </w:rPr>
              <w:fldChar w:fldCharType="separate"/>
            </w:r>
            <w:r>
              <w:rPr>
                <w:rFonts w:ascii="Times New Roman"/>
                <w:color w:val="auto"/>
              </w:rPr>
              <w:t>龙眼</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"https://baike.baidu.com/item/%E8%8D%94%E6%9E%9D/159299" \t "_blank" </w:instrText>
            </w:r>
            <w:r>
              <w:rPr>
                <w:color w:val="auto"/>
              </w:rPr>
              <w:fldChar w:fldCharType="separate"/>
            </w:r>
            <w:r>
              <w:rPr>
                <w:rFonts w:ascii="Times New Roman"/>
                <w:color w:val="auto"/>
              </w:rPr>
              <w:t>荔枝</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"https://baike.baidu.com/item/%E8%8F%A0%E8%90%9D%E5%AF%86" \t "_blank" </w:instrText>
            </w:r>
            <w:r>
              <w:rPr>
                <w:color w:val="auto"/>
              </w:rPr>
              <w:fldChar w:fldCharType="separate"/>
            </w:r>
            <w:r>
              <w:rPr>
                <w:rFonts w:ascii="Times New Roman"/>
                <w:color w:val="auto"/>
              </w:rPr>
              <w:t>菠萝密</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"https://baike.baidu.com/item/%E5%92%96%E5%95%A1/29518" \t "_blank" </w:instrText>
            </w:r>
            <w:r>
              <w:rPr>
                <w:color w:val="auto"/>
              </w:rPr>
              <w:fldChar w:fldCharType="separate"/>
            </w:r>
            <w:r>
              <w:rPr>
                <w:rFonts w:ascii="Times New Roman"/>
                <w:color w:val="auto"/>
              </w:rPr>
              <w:t>咖啡</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"https://baike.baidu.com/item/%E9%BB%84%E7%9A%AE" \t "_blank" </w:instrText>
            </w:r>
            <w:r>
              <w:rPr>
                <w:color w:val="auto"/>
              </w:rPr>
              <w:fldChar w:fldCharType="separate"/>
            </w:r>
            <w:r>
              <w:rPr>
                <w:rFonts w:ascii="Times New Roman"/>
                <w:color w:val="auto"/>
              </w:rPr>
              <w:t>黄皮</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"https://baike.baidu.com/item/%E8%8E%B2%E9%9B%BE" \t "_blank" </w:instrText>
            </w:r>
            <w:r>
              <w:rPr>
                <w:color w:val="auto"/>
              </w:rPr>
              <w:fldChar w:fldCharType="separate"/>
            </w:r>
            <w:r>
              <w:rPr>
                <w:rFonts w:ascii="Times New Roman"/>
                <w:color w:val="auto"/>
              </w:rPr>
              <w:t>莲雾</w:t>
            </w:r>
            <w:r>
              <w:rPr>
                <w:rFonts w:ascii="Times New Roman"/>
                <w:color w:val="auto"/>
              </w:rPr>
              <w:fldChar w:fldCharType="end"/>
            </w:r>
            <w:r>
              <w:rPr>
                <w:rFonts w:ascii="Times New Roman"/>
                <w:color w:val="auto"/>
                <w:szCs w:val="21"/>
              </w:rPr>
              <w:t>、</w:t>
            </w:r>
            <w:r>
              <w:rPr>
                <w:color w:val="auto"/>
              </w:rPr>
              <w:fldChar w:fldCharType="begin"/>
            </w:r>
            <w:r>
              <w:rPr>
                <w:color w:val="auto"/>
              </w:rPr>
              <w:instrText xml:space="preserve"> HYPERLINK "https://baike.baidu.com/item/%E6%A7%9F%E6%A6%94/584134" \t "_blank" </w:instrText>
            </w:r>
            <w:r>
              <w:rPr>
                <w:color w:val="auto"/>
              </w:rPr>
              <w:fldChar w:fldCharType="separate"/>
            </w:r>
            <w:r>
              <w:rPr>
                <w:rFonts w:ascii="Times New Roman"/>
                <w:color w:val="auto"/>
              </w:rPr>
              <w:t>槟榔</w:t>
            </w:r>
            <w:r>
              <w:rPr>
                <w:rFonts w:ascii="Times New Roman"/>
                <w:color w:val="auto"/>
              </w:rPr>
              <w:fldChar w:fldCharType="end"/>
            </w:r>
            <w:r>
              <w:rPr>
                <w:rFonts w:ascii="Times New Roman"/>
                <w:color w:val="auto"/>
                <w:szCs w:val="21"/>
              </w:rPr>
              <w:t>等。</w:t>
            </w:r>
            <w:r>
              <w:rPr>
                <w:color w:val="auto"/>
              </w:rPr>
              <w:fldChar w:fldCharType="begin"/>
            </w:r>
            <w:r>
              <w:rPr>
                <w:color w:val="auto"/>
              </w:rPr>
              <w:instrText xml:space="preserve"> HYPERLINK "https://baike.baidu.com/item/%E8%8D%AF%E7%94%A8%E6%A4%8D%E7%89%A9/57503" \t "_blank" </w:instrText>
            </w:r>
            <w:r>
              <w:rPr>
                <w:color w:val="auto"/>
              </w:rPr>
              <w:fldChar w:fldCharType="separate"/>
            </w:r>
            <w:r>
              <w:rPr>
                <w:rFonts w:ascii="Times New Roman"/>
                <w:color w:val="auto"/>
              </w:rPr>
              <w:t>药用植物</w:t>
            </w:r>
            <w:r>
              <w:rPr>
                <w:rFonts w:ascii="Times New Roman"/>
                <w:color w:val="auto"/>
              </w:rPr>
              <w:fldChar w:fldCharType="end"/>
            </w:r>
            <w:r>
              <w:rPr>
                <w:rFonts w:ascii="Times New Roman"/>
                <w:color w:val="auto"/>
                <w:szCs w:val="21"/>
              </w:rPr>
              <w:t>1200 多种，其中较著名的有</w:t>
            </w:r>
            <w:r>
              <w:rPr>
                <w:color w:val="auto"/>
              </w:rPr>
              <w:fldChar w:fldCharType="begin"/>
            </w:r>
            <w:r>
              <w:rPr>
                <w:color w:val="auto"/>
              </w:rPr>
              <w:instrText xml:space="preserve"> HYPERLINK "https://baike.baidu.com/item/%E5%B7%B4%E6%88%9F" \t "_blank" </w:instrText>
            </w:r>
            <w:r>
              <w:rPr>
                <w:color w:val="auto"/>
              </w:rPr>
              <w:fldChar w:fldCharType="separate"/>
            </w:r>
            <w:r>
              <w:rPr>
                <w:rFonts w:ascii="Times New Roman"/>
                <w:color w:val="auto"/>
              </w:rPr>
              <w:t>巴戟</w:t>
            </w:r>
            <w:r>
              <w:rPr>
                <w:rFonts w:ascii="Times New Roman"/>
                <w:color w:val="auto"/>
              </w:rPr>
              <w:fldChar w:fldCharType="end"/>
            </w:r>
            <w:r>
              <w:rPr>
                <w:rFonts w:ascii="Times New Roman"/>
                <w:color w:val="auto"/>
                <w:szCs w:val="21"/>
              </w:rPr>
              <w:t>、</w:t>
            </w:r>
            <w:r>
              <w:rPr>
                <w:rFonts w:ascii="Times New Roman"/>
                <w:color w:val="auto"/>
              </w:rPr>
              <w:fldChar w:fldCharType="begin"/>
            </w:r>
            <w:r>
              <w:rPr>
                <w:rFonts w:ascii="Times New Roman"/>
                <w:color w:val="auto"/>
              </w:rPr>
              <w:instrText xml:space="preserve"> HYPERLINK "https://baike.baidu.com/item/%E7%9B%8A%E6%99%BA/60334" \t "_blank" </w:instrText>
            </w:r>
            <w:r>
              <w:rPr>
                <w:rFonts w:ascii="Times New Roman"/>
                <w:color w:val="auto"/>
              </w:rPr>
              <w:fldChar w:fldCharType="separate"/>
            </w:r>
            <w:r>
              <w:rPr>
                <w:rFonts w:ascii="Times New Roman"/>
                <w:color w:val="auto"/>
              </w:rPr>
              <w:t>益智</w:t>
            </w:r>
            <w:r>
              <w:rPr>
                <w:rFonts w:ascii="Times New Roman"/>
                <w:color w:val="auto"/>
              </w:rPr>
              <w:fldChar w:fldCharType="end"/>
            </w:r>
            <w:r>
              <w:rPr>
                <w:rFonts w:ascii="Times New Roman"/>
                <w:color w:val="auto"/>
              </w:rPr>
              <w:t>、</w:t>
            </w:r>
            <w:r>
              <w:rPr>
                <w:rFonts w:ascii="Times New Roman"/>
                <w:color w:val="auto"/>
              </w:rPr>
              <w:fldChar w:fldCharType="begin"/>
            </w:r>
            <w:r>
              <w:rPr>
                <w:rFonts w:ascii="Times New Roman"/>
                <w:color w:val="auto"/>
              </w:rPr>
              <w:instrText xml:space="preserve"> HYPERLINK "https://baike.baidu.com/item/%E7%A0%82%E4%BB%81/581130" \t "_blank" </w:instrText>
            </w:r>
            <w:r>
              <w:rPr>
                <w:rFonts w:ascii="Times New Roman"/>
                <w:color w:val="auto"/>
              </w:rPr>
              <w:fldChar w:fldCharType="separate"/>
            </w:r>
            <w:r>
              <w:rPr>
                <w:rFonts w:ascii="Times New Roman"/>
                <w:color w:val="auto"/>
              </w:rPr>
              <w:t>砂仁</w:t>
            </w:r>
            <w:r>
              <w:rPr>
                <w:rFonts w:ascii="Times New Roman"/>
                <w:color w:val="auto"/>
              </w:rPr>
              <w:fldChar w:fldCharType="end"/>
            </w:r>
            <w:r>
              <w:rPr>
                <w:rFonts w:ascii="Times New Roman"/>
                <w:color w:val="auto"/>
              </w:rPr>
              <w:t>等。</w:t>
            </w:r>
            <w:r>
              <w:rPr>
                <w:rFonts w:ascii="Times New Roman"/>
                <w:color w:val="auto"/>
              </w:rPr>
              <w:fldChar w:fldCharType="begin"/>
            </w:r>
            <w:r>
              <w:rPr>
                <w:rFonts w:ascii="Times New Roman"/>
                <w:color w:val="auto"/>
              </w:rPr>
              <w:instrText xml:space="preserve"> HYPERLINK "https://baike.baidu.com/item/%E6%B5%B7%E6%B4%8B%E6%A4%8D%E7%89%A9" \t "_blank" </w:instrText>
            </w:r>
            <w:r>
              <w:rPr>
                <w:rFonts w:ascii="Times New Roman"/>
                <w:color w:val="auto"/>
              </w:rPr>
              <w:fldChar w:fldCharType="separate"/>
            </w:r>
            <w:r>
              <w:rPr>
                <w:rFonts w:ascii="Times New Roman"/>
                <w:color w:val="auto"/>
              </w:rPr>
              <w:t>海洋植物</w:t>
            </w:r>
            <w:r>
              <w:rPr>
                <w:rFonts w:ascii="Times New Roman"/>
                <w:color w:val="auto"/>
              </w:rPr>
              <w:fldChar w:fldCharType="end"/>
            </w:r>
            <w:r>
              <w:rPr>
                <w:rFonts w:ascii="Times New Roman"/>
                <w:color w:val="auto"/>
              </w:rPr>
              <w:t>资源主要有</w:t>
            </w:r>
            <w:r>
              <w:rPr>
                <w:rFonts w:ascii="Times New Roman"/>
                <w:color w:val="auto"/>
              </w:rPr>
              <w:fldChar w:fldCharType="begin"/>
            </w:r>
            <w:r>
              <w:rPr>
                <w:rFonts w:ascii="Times New Roman"/>
                <w:color w:val="auto"/>
              </w:rPr>
              <w:instrText xml:space="preserve"> HYPERLINK "https://baike.baidu.com/item/%E6%B5%B7%E8%97%BB/22956" \t "_blank" </w:instrText>
            </w:r>
            <w:r>
              <w:rPr>
                <w:rFonts w:ascii="Times New Roman"/>
                <w:color w:val="auto"/>
              </w:rPr>
              <w:fldChar w:fldCharType="separate"/>
            </w:r>
            <w:r>
              <w:rPr>
                <w:rFonts w:ascii="Times New Roman"/>
                <w:color w:val="auto"/>
              </w:rPr>
              <w:t>海藻</w:t>
            </w:r>
            <w:r>
              <w:rPr>
                <w:rFonts w:ascii="Times New Roman"/>
                <w:color w:val="auto"/>
              </w:rPr>
              <w:fldChar w:fldCharType="end"/>
            </w:r>
            <w:r>
              <w:rPr>
                <w:rFonts w:ascii="Times New Roman"/>
                <w:color w:val="auto"/>
              </w:rPr>
              <w:t>、</w:t>
            </w:r>
            <w:r>
              <w:rPr>
                <w:rFonts w:ascii="Times New Roman"/>
                <w:color w:val="auto"/>
              </w:rPr>
              <w:fldChar w:fldCharType="begin"/>
            </w:r>
            <w:r>
              <w:rPr>
                <w:rFonts w:ascii="Times New Roman"/>
                <w:color w:val="auto"/>
              </w:rPr>
              <w:instrText xml:space="preserve"> HYPERLINK "https://baike.baidu.com/item/%E6%B1%9F%E7%AF%B1" \t "_blank" </w:instrText>
            </w:r>
            <w:r>
              <w:rPr>
                <w:rFonts w:ascii="Times New Roman"/>
                <w:color w:val="auto"/>
              </w:rPr>
              <w:fldChar w:fldCharType="separate"/>
            </w:r>
            <w:r>
              <w:rPr>
                <w:rFonts w:ascii="Times New Roman"/>
                <w:color w:val="auto"/>
              </w:rPr>
              <w:t>江篱</w:t>
            </w:r>
            <w:r>
              <w:rPr>
                <w:rFonts w:ascii="Times New Roman"/>
                <w:color w:val="auto"/>
              </w:rPr>
              <w:fldChar w:fldCharType="end"/>
            </w:r>
            <w:r>
              <w:rPr>
                <w:rFonts w:ascii="Times New Roman"/>
                <w:color w:val="auto"/>
              </w:rPr>
              <w:t>和</w:t>
            </w:r>
            <w:r>
              <w:rPr>
                <w:rFonts w:ascii="Times New Roman"/>
                <w:color w:val="auto"/>
              </w:rPr>
              <w:fldChar w:fldCharType="begin"/>
            </w:r>
            <w:r>
              <w:rPr>
                <w:rFonts w:ascii="Times New Roman"/>
                <w:color w:val="auto"/>
              </w:rPr>
              <w:instrText xml:space="preserve"> HYPERLINK "https://baike.baidu.com/item/%E7%BA%A2%E6%A0%91%E6%9E%97/13210" \t "_blank" </w:instrText>
            </w:r>
            <w:r>
              <w:rPr>
                <w:rFonts w:ascii="Times New Roman"/>
                <w:color w:val="auto"/>
              </w:rPr>
              <w:fldChar w:fldCharType="separate"/>
            </w:r>
            <w:r>
              <w:rPr>
                <w:rFonts w:ascii="Times New Roman"/>
                <w:color w:val="auto"/>
              </w:rPr>
              <w:t>红树林</w:t>
            </w:r>
            <w:r>
              <w:rPr>
                <w:rFonts w:ascii="Times New Roman"/>
                <w:color w:val="auto"/>
              </w:rPr>
              <w:fldChar w:fldCharType="end"/>
            </w:r>
            <w:r>
              <w:rPr>
                <w:rFonts w:ascii="Times New Roman"/>
                <w:color w:val="auto"/>
              </w:rPr>
              <w:t>等。</w:t>
            </w:r>
          </w:p>
          <w:p>
            <w:pPr>
              <w:spacing w:line="360" w:lineRule="auto"/>
              <w:ind w:firstLine="420" w:firstLineChars="200"/>
              <w:rPr>
                <w:rFonts w:hint="eastAsia" w:ascii="Times New Roman"/>
                <w:color w:val="auto"/>
                <w:lang w:eastAsia="zh-CN"/>
              </w:rPr>
            </w:pPr>
            <w:r>
              <w:rPr>
                <w:rFonts w:hint="eastAsia" w:ascii="Times New Roman"/>
                <w:color w:val="auto"/>
              </w:rPr>
              <w:t>文昌市地处热带北缘，境内气候温和，雨量充沛，自然条件优越，为生物繁衍生息提供了适宜的环境。同时该市水陆交通方便，</w:t>
            </w:r>
            <w:r>
              <w:rPr>
                <w:rFonts w:hint="eastAsia" w:ascii="Times New Roman"/>
                <w:color w:val="auto"/>
                <w:lang w:eastAsia="zh-CN"/>
              </w:rPr>
              <w:t>是海南省出口贸易基地。盛产椰子、菠萝、胡椒、咖啡、橡胶等热带作物，素有“海南椰乡”之称。拥有丰富的海洋水产资源，如对虾、石斑鱼、鲍鱼、马鲛鱼、带鱼、海鳗、海参等。贝类以蚶、蛤、贻贝为著名，海马、海龙、海胆最为名贵。</w:t>
            </w:r>
          </w:p>
          <w:p>
            <w:pPr>
              <w:spacing w:line="360" w:lineRule="auto"/>
              <w:ind w:firstLine="422"/>
              <w:rPr>
                <w:rFonts w:hint="default" w:ascii="Times New Roman"/>
                <w:b/>
                <w:color w:val="auto"/>
                <w:lang w:val="en-US" w:eastAsia="zh-CN"/>
              </w:rPr>
            </w:pPr>
            <w:r>
              <w:rPr>
                <w:rFonts w:hint="eastAsia" w:ascii="Times New Roman"/>
                <w:b/>
                <w:color w:val="auto"/>
                <w:lang w:val="en-US" w:eastAsia="zh-CN"/>
              </w:rPr>
              <w:t>5、湿地</w:t>
            </w:r>
          </w:p>
          <w:p>
            <w:pPr>
              <w:spacing w:line="360" w:lineRule="auto"/>
              <w:ind w:firstLine="422"/>
              <w:rPr>
                <w:rFonts w:hint="eastAsia" w:ascii="Times New Roman" w:hAnsi="Times New Roman"/>
                <w:color w:val="auto"/>
                <w:kern w:val="0"/>
                <w:lang w:val="en-US" w:eastAsia="zh-CN"/>
              </w:rPr>
            </w:pPr>
            <w:r>
              <w:rPr>
                <w:rFonts w:hint="eastAsia" w:ascii="Times New Roman" w:hAnsi="Times New Roman"/>
                <w:color w:val="auto"/>
                <w:kern w:val="0"/>
                <w:lang w:eastAsia="zh-CN"/>
              </w:rPr>
              <w:t>经</w:t>
            </w:r>
            <w:r>
              <w:rPr>
                <w:rFonts w:hint="eastAsia" w:ascii="Times New Roman" w:hAnsi="Times New Roman"/>
                <w:color w:val="auto"/>
                <w:kern w:val="0"/>
                <w:lang w:val="en-US" w:eastAsia="zh-CN"/>
              </w:rPr>
              <w:t>现场调查，本工程线路涉及</w:t>
            </w:r>
            <w:r>
              <w:rPr>
                <w:rFonts w:hint="eastAsia" w:ascii="Times New Roman" w:hAnsi="Times New Roman"/>
                <w:color w:val="auto"/>
                <w:lang w:eastAsia="zh-CN"/>
              </w:rPr>
              <w:t>海口响水河省级湿地公园、海口三十六曲溪省级湿地公园、新旧沟湿地乡村公园（新旧沟湿地保护小区）及羊山湿地多用途管理区</w:t>
            </w:r>
            <w:r>
              <w:rPr>
                <w:rFonts w:hint="eastAsia" w:ascii="Times New Roman" w:hAnsi="Times New Roman"/>
                <w:color w:val="auto"/>
                <w:kern w:val="0"/>
                <w:lang w:val="en-US" w:eastAsia="zh-CN"/>
              </w:rPr>
              <w:t>。</w:t>
            </w:r>
          </w:p>
          <w:p>
            <w:pPr>
              <w:spacing w:line="360" w:lineRule="auto"/>
              <w:ind w:firstLine="422"/>
              <w:rPr>
                <w:rFonts w:hint="eastAsia" w:ascii="Times New Roman" w:hAnsi="Times New Roman"/>
                <w:color w:val="auto"/>
                <w:lang w:eastAsia="zh-CN"/>
              </w:rPr>
            </w:pPr>
            <w:r>
              <w:rPr>
                <w:rFonts w:hint="eastAsia" w:ascii="Times New Roman" w:hAnsi="Times New Roman"/>
                <w:color w:val="auto"/>
                <w:kern w:val="0"/>
                <w:lang w:val="en-US" w:eastAsia="zh-CN"/>
              </w:rPr>
              <w:t>①</w:t>
            </w:r>
            <w:r>
              <w:rPr>
                <w:rFonts w:hint="eastAsia" w:ascii="Times New Roman" w:hAnsi="Times New Roman"/>
                <w:color w:val="auto"/>
                <w:lang w:eastAsia="zh-CN"/>
              </w:rPr>
              <w:t>海口响水河省级湿地公园</w:t>
            </w:r>
          </w:p>
          <w:p>
            <w:pPr>
              <w:spacing w:line="360" w:lineRule="auto"/>
              <w:ind w:firstLine="422"/>
              <w:rPr>
                <w:rFonts w:hint="eastAsia" w:ascii="Times New Roman" w:hAnsi="Times New Roman"/>
                <w:color w:val="auto"/>
                <w:kern w:val="0"/>
                <w:lang w:val="en-US" w:eastAsia="zh-CN"/>
              </w:rPr>
            </w:pPr>
            <w:r>
              <w:rPr>
                <w:rFonts w:hint="eastAsia" w:ascii="Times New Roman" w:hAnsi="Times New Roman"/>
                <w:color w:val="auto"/>
                <w:lang w:eastAsia="zh-CN"/>
              </w:rPr>
              <w:t>海口响水河省级湿地公园</w:t>
            </w:r>
            <w:r>
              <w:rPr>
                <w:rFonts w:hint="eastAsia" w:ascii="Times New Roman" w:hAnsi="Times New Roman"/>
                <w:color w:val="auto"/>
                <w:kern w:val="0"/>
                <w:lang w:val="en-US" w:eastAsia="zh-CN"/>
              </w:rPr>
              <w:t>于2017年由海南省林业厅以琼林函[2017]525号文同意设立。根据</w:t>
            </w:r>
            <w:r>
              <w:rPr>
                <w:rFonts w:hint="default" w:ascii="Times New Roman" w:hAnsi="Times New Roman"/>
                <w:color w:val="auto"/>
                <w:kern w:val="0"/>
                <w:lang w:val="en-US" w:eastAsia="zh-CN"/>
              </w:rPr>
              <w:t>《</w:t>
            </w:r>
            <w:r>
              <w:rPr>
                <w:rFonts w:hint="eastAsia" w:ascii="Times New Roman" w:hAnsi="Times New Roman"/>
                <w:color w:val="auto"/>
                <w:kern w:val="0"/>
                <w:lang w:val="en-US" w:eastAsia="zh-CN"/>
              </w:rPr>
              <w:t>海口市湿地保护修复总体规划（2017~2025年）》，该湿地公园西起白水塘，东至响水河入南渡江河口，主要包括白水塘、响水河2个湿地单元。规划总面积330.92hm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，其中湿地面积215.65hm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，湿地率为65.17%。保护对象为羊山地区独特火山熔岩湿地生态系统，规划将其划分为湿地保育区、恢复重建区、宣教展示区、合理利用区、管理服务区5个</w:t>
            </w:r>
            <w:r>
              <w:rPr>
                <w:rFonts w:hint="default" w:ascii="Times New Roman" w:hAnsi="Times New Roman"/>
                <w:color w:val="auto"/>
                <w:kern w:val="0"/>
                <w:lang w:val="en-US" w:eastAsia="zh-CN"/>
              </w:rPr>
              <w:t>功能</w:t>
            </w:r>
            <w:r>
              <w:rPr>
                <w:rFonts w:hint="eastAsia" w:ascii="Times New Roman" w:hAnsi="Times New Roman"/>
                <w:color w:val="auto"/>
                <w:kern w:val="0"/>
                <w:lang w:val="en-US" w:eastAsia="zh-CN"/>
              </w:rPr>
              <w:t>区。</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outlineLvl w:val="9"/>
              <w:rPr>
                <w:rFonts w:hint="default"/>
                <w:color w:val="auto"/>
                <w:lang w:val="en-US" w:eastAsia="zh-CN"/>
              </w:rPr>
            </w:pPr>
            <w:r>
              <w:rPr>
                <w:rFonts w:hint="eastAsia" w:ascii="Times New Roman" w:hAnsi="Times New Roman"/>
                <w:color w:val="auto"/>
                <w:kern w:val="0"/>
                <w:lang w:val="en-US" w:eastAsia="zh-CN"/>
              </w:rPr>
              <w:t xml:space="preserve">    本工程线路距海口响水河省级湿地公园最近距离约750m。</w:t>
            </w:r>
          </w:p>
          <w:p>
            <w:pPr>
              <w:spacing w:line="360" w:lineRule="auto"/>
              <w:ind w:firstLine="422"/>
              <w:rPr>
                <w:rFonts w:hint="eastAsia" w:ascii="Times New Roman" w:hAnsi="Times New Roman"/>
                <w:color w:val="auto"/>
                <w:lang w:eastAsia="zh-CN"/>
              </w:rPr>
            </w:pPr>
            <w:r>
              <w:rPr>
                <w:rFonts w:hint="eastAsia" w:ascii="Times New Roman" w:hAnsi="Times New Roman"/>
                <w:color w:val="auto"/>
                <w:lang w:eastAsia="zh-CN"/>
              </w:rPr>
              <w:t>②海口三十六曲溪省级湿地公园</w:t>
            </w:r>
          </w:p>
          <w:p>
            <w:pPr>
              <w:spacing w:line="360" w:lineRule="auto"/>
              <w:ind w:firstLine="422"/>
              <w:rPr>
                <w:rFonts w:hint="eastAsia" w:ascii="Times New Roman" w:hAnsi="Times New Roman"/>
                <w:color w:val="auto"/>
                <w:kern w:val="0"/>
                <w:lang w:val="en-US" w:eastAsia="zh-CN"/>
              </w:rPr>
            </w:pPr>
            <w:r>
              <w:rPr>
                <w:rFonts w:hint="eastAsia" w:ascii="Times New Roman" w:hAnsi="Times New Roman"/>
                <w:color w:val="auto"/>
                <w:lang w:eastAsia="zh-CN"/>
              </w:rPr>
              <w:t>海口三十六曲溪省级湿地公园</w:t>
            </w:r>
            <w:r>
              <w:rPr>
                <w:rFonts w:hint="eastAsia" w:ascii="Times New Roman" w:hAnsi="Times New Roman"/>
                <w:color w:val="auto"/>
                <w:kern w:val="0"/>
                <w:lang w:val="en-US" w:eastAsia="zh-CN"/>
              </w:rPr>
              <w:t>于2017年由海南省林业厅以琼林函[2017]525号文同意设立。根据</w:t>
            </w:r>
            <w:r>
              <w:rPr>
                <w:rFonts w:hint="default" w:ascii="Times New Roman" w:hAnsi="Times New Roman"/>
                <w:color w:val="auto"/>
                <w:kern w:val="0"/>
                <w:lang w:val="en-US" w:eastAsia="zh-CN"/>
              </w:rPr>
              <w:t>《</w:t>
            </w:r>
            <w:r>
              <w:rPr>
                <w:rFonts w:hint="eastAsia" w:ascii="Times New Roman" w:hAnsi="Times New Roman"/>
                <w:color w:val="auto"/>
                <w:kern w:val="0"/>
                <w:lang w:val="en-US" w:eastAsia="zh-CN"/>
              </w:rPr>
              <w:t>海口市湿地保护修复总体规划（2017~2025年）》，该湿地公园主要包括沼泽、三十六曲溪、稻田3个湿地单元，是南渡江流域湿地保护网络的重要组成单元。规划总面积316.70hm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，其中湿地面积274.55hm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，湿地率为 86.69%。其保护对象为河流湿地生态系统及国家重点保护动物虎纹蛙与栖息地。规划将其划分为湿地保育区、恢复重建区、宣教展示区、合理利用区、管理服务区5个功能区。</w:t>
            </w:r>
          </w:p>
          <w:p>
            <w:pPr>
              <w:spacing w:line="360" w:lineRule="auto"/>
              <w:ind w:firstLine="422"/>
              <w:rPr>
                <w:rFonts w:hint="eastAsia" w:ascii="Times New Roman" w:hAnsi="Times New Roman"/>
                <w:color w:val="auto"/>
                <w:lang w:eastAsia="zh-CN"/>
              </w:rPr>
            </w:pPr>
            <w:r>
              <w:rPr>
                <w:rFonts w:hint="eastAsia" w:ascii="Times New Roman" w:hAnsi="Times New Roman"/>
                <w:color w:val="auto"/>
                <w:kern w:val="0"/>
                <w:lang w:val="en-US" w:eastAsia="zh-CN"/>
              </w:rPr>
              <w:t>本工程线路</w:t>
            </w:r>
            <w:r>
              <w:rPr>
                <w:rFonts w:hint="eastAsia" w:ascii="Times New Roman" w:hAnsi="Times New Roman"/>
                <w:color w:val="auto"/>
                <w:lang w:eastAsia="zh-CN"/>
              </w:rPr>
              <w:t>跨越海口三十六曲溪省级湿地公园</w:t>
            </w:r>
            <w:r>
              <w:rPr>
                <w:rFonts w:hint="eastAsia" w:ascii="Times New Roman" w:hAnsi="Times New Roman"/>
                <w:color w:val="auto"/>
                <w:kern w:val="0"/>
                <w:lang w:val="en-US" w:eastAsia="zh-CN"/>
              </w:rPr>
              <w:t>有3处</w:t>
            </w:r>
            <w:r>
              <w:rPr>
                <w:rFonts w:hint="eastAsia" w:ascii="Times New Roman" w:hAnsi="Times New Roman"/>
                <w:color w:val="auto"/>
                <w:lang w:eastAsia="zh-CN"/>
              </w:rPr>
              <w:t>，累计跨越长</w:t>
            </w:r>
            <w:r>
              <w:rPr>
                <w:rFonts w:ascii="Times New Roman" w:hAnsi="Times New Roman"/>
                <w:color w:val="auto"/>
              </w:rPr>
              <w:t>约</w:t>
            </w:r>
            <w:r>
              <w:rPr>
                <w:rFonts w:hint="eastAsia" w:ascii="Times New Roman" w:hAnsi="Times New Roman"/>
                <w:color w:val="auto"/>
                <w:lang w:val="en-US" w:eastAsia="zh-CN"/>
              </w:rPr>
              <w:t>0.8</w:t>
            </w:r>
            <w:r>
              <w:rPr>
                <w:rFonts w:ascii="Times New Roman" w:hAnsi="Times New Roman"/>
                <w:color w:val="auto"/>
              </w:rPr>
              <w:t>km</w:t>
            </w:r>
            <w:r>
              <w:rPr>
                <w:rFonts w:hint="eastAsia" w:ascii="Times New Roman" w:hAnsi="Times New Roman"/>
                <w:color w:val="auto"/>
                <w:lang w:eastAsia="zh-CN"/>
              </w:rPr>
              <w:t>，一档跨越，不在其规划范围内立塔。</w:t>
            </w:r>
          </w:p>
          <w:p>
            <w:pPr>
              <w:spacing w:line="360" w:lineRule="auto"/>
              <w:ind w:firstLine="422"/>
              <w:rPr>
                <w:rFonts w:hint="eastAsia" w:ascii="Times New Roman" w:hAnsi="Times New Roman"/>
                <w:color w:val="auto"/>
                <w:lang w:eastAsia="zh-CN"/>
              </w:rPr>
            </w:pPr>
            <w:r>
              <w:rPr>
                <w:rFonts w:hint="eastAsia" w:ascii="Times New Roman" w:hAnsi="Times New Roman"/>
                <w:color w:val="auto"/>
                <w:lang w:eastAsia="zh-CN"/>
              </w:rPr>
              <w:t>②新旧沟湿地乡村公园（新旧沟湿地保护小区）</w:t>
            </w:r>
          </w:p>
          <w:p>
            <w:pPr>
              <w:spacing w:line="360" w:lineRule="auto"/>
              <w:ind w:firstLine="422"/>
              <w:rPr>
                <w:rFonts w:hint="eastAsia" w:ascii="Times New Roman" w:hAnsi="Times New Roman" w:cs="Times New Roman"/>
                <w:color w:val="auto"/>
                <w:kern w:val="0"/>
                <w:lang w:val="en-US" w:eastAsia="zh-CN"/>
              </w:rPr>
            </w:pPr>
            <w:r>
              <w:rPr>
                <w:rFonts w:hint="eastAsia" w:ascii="Times New Roman" w:hAnsi="Times New Roman"/>
                <w:color w:val="auto"/>
                <w:kern w:val="0"/>
                <w:lang w:val="en-US" w:eastAsia="zh-CN"/>
              </w:rPr>
              <w:t>新旧沟湿地保护小区于2017年由海口市人民政府以海府函[2017]174号文予以批复为市级重要湿地。该湿地保护小区主要为湿地文化保护类型。规划总面积326.34hm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，其中湿地面积181.3hm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新旧沟湿地乡村公园是在新旧沟湿地保护小区范围的基础上，向外辐射五个行政村（龙泉镇：新联村、富伟村，龙塘镇：三桥村、仁庄村、三联村），以其行政村界作为乡村湿地公园外围边界，其总规划面积1637.58h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w:t>
            </w:r>
            <w:r>
              <w:rPr>
                <w:rFonts w:hint="eastAsia" w:ascii="Times New Roman" w:hAnsi="Times New Roman" w:cs="Times New Roman"/>
                <w:color w:val="auto"/>
                <w:kern w:val="0"/>
                <w:lang w:val="en-US" w:eastAsia="zh-CN"/>
              </w:rPr>
              <w:t>主要保护新旧沟古水利工程及南渡江下游重要水源涵养区生态安全，维护海口及南渡江下游地区生物多样性和生态安全。目前尚未划分生态</w:t>
            </w:r>
            <w:r>
              <w:rPr>
                <w:rFonts w:hint="default" w:ascii="Times New Roman" w:hAnsi="Times New Roman" w:cs="Times New Roman"/>
                <w:color w:val="auto"/>
                <w:kern w:val="0"/>
                <w:lang w:val="en-US" w:eastAsia="zh-CN"/>
              </w:rPr>
              <w:t>功能</w:t>
            </w:r>
            <w:r>
              <w:rPr>
                <w:rFonts w:hint="eastAsia" w:ascii="Times New Roman" w:hAnsi="Times New Roman" w:cs="Times New Roman"/>
                <w:color w:val="auto"/>
                <w:kern w:val="0"/>
                <w:lang w:val="en-US" w:eastAsia="zh-CN"/>
              </w:rPr>
              <w:t>区。</w:t>
            </w:r>
          </w:p>
          <w:p>
            <w:pPr>
              <w:spacing w:line="360" w:lineRule="auto"/>
              <w:ind w:firstLine="422"/>
              <w:rPr>
                <w:rFonts w:hint="eastAsia" w:ascii="Times New Roman" w:hAnsi="Times New Roman"/>
                <w:color w:val="auto"/>
                <w:lang w:eastAsia="zh-CN"/>
              </w:rPr>
            </w:pPr>
            <w:r>
              <w:rPr>
                <w:rFonts w:hint="eastAsia" w:ascii="Times New Roman" w:hAnsi="Times New Roman"/>
                <w:color w:val="auto"/>
                <w:kern w:val="0"/>
                <w:lang w:val="en-US" w:eastAsia="zh-CN"/>
              </w:rPr>
              <w:t>本工程</w:t>
            </w:r>
            <w:r>
              <w:rPr>
                <w:rFonts w:ascii="Times New Roman" w:hAnsi="Times New Roman"/>
                <w:color w:val="auto"/>
              </w:rPr>
              <w:t>线路</w:t>
            </w:r>
            <w:r>
              <w:rPr>
                <w:rFonts w:hint="eastAsia" w:ascii="Times New Roman" w:hAnsi="Times New Roman"/>
                <w:color w:val="auto"/>
                <w:lang w:eastAsia="zh-CN"/>
              </w:rPr>
              <w:t>在其规划范围内</w:t>
            </w:r>
            <w:r>
              <w:rPr>
                <w:rFonts w:ascii="Times New Roman" w:hAnsi="Times New Roman"/>
                <w:color w:val="auto"/>
              </w:rPr>
              <w:t>走线约</w:t>
            </w:r>
            <w:r>
              <w:rPr>
                <w:rFonts w:hint="eastAsia" w:ascii="Times New Roman" w:hAnsi="Times New Roman"/>
                <w:color w:val="auto"/>
                <w:lang w:val="en-US" w:eastAsia="zh-CN"/>
              </w:rPr>
              <w:t>3.6</w:t>
            </w:r>
            <w:r>
              <w:rPr>
                <w:rFonts w:ascii="Times New Roman" w:hAnsi="Times New Roman"/>
                <w:color w:val="auto"/>
              </w:rPr>
              <w:t>km</w:t>
            </w:r>
            <w:r>
              <w:rPr>
                <w:rFonts w:hint="eastAsia" w:ascii="Times New Roman" w:hAnsi="Times New Roman"/>
                <w:color w:val="auto"/>
                <w:lang w:eastAsia="zh-CN"/>
              </w:rPr>
              <w:t>，拟立塔</w:t>
            </w:r>
            <w:r>
              <w:rPr>
                <w:rFonts w:hint="eastAsia" w:ascii="Times New Roman" w:hAnsi="Times New Roman"/>
                <w:color w:val="auto"/>
                <w:lang w:val="en-US" w:eastAsia="zh-CN"/>
              </w:rPr>
              <w:t>12基，其中5基塔位置与南渡江龙塘饮用水水源保护区内拟立塔位重合（二级陆域拟立1基，准保护区拟立4基）</w:t>
            </w:r>
            <w:r>
              <w:rPr>
                <w:rFonts w:ascii="Times New Roman" w:hAnsi="Times New Roman"/>
                <w:color w:val="auto"/>
              </w:rPr>
              <w:t>。</w:t>
            </w:r>
            <w:r>
              <w:rPr>
                <w:rFonts w:hint="eastAsia" w:ascii="Times New Roman" w:hAnsi="Times New Roman"/>
                <w:color w:val="auto"/>
                <w:lang w:eastAsia="zh-CN"/>
              </w:rPr>
              <w:t>线路一档跨越新旧沟湿地保护区小区，跨越距离约</w:t>
            </w:r>
            <w:r>
              <w:rPr>
                <w:rFonts w:hint="eastAsia" w:ascii="Times New Roman" w:hAnsi="Times New Roman"/>
                <w:color w:val="auto"/>
                <w:lang w:val="en-US" w:eastAsia="zh-CN"/>
              </w:rPr>
              <w:t>170m。</w:t>
            </w:r>
          </w:p>
          <w:p>
            <w:pPr>
              <w:spacing w:line="360" w:lineRule="auto"/>
              <w:ind w:firstLine="422"/>
              <w:rPr>
                <w:rFonts w:hint="eastAsia" w:ascii="Times New Roman" w:hAnsi="Times New Roman"/>
                <w:color w:val="auto"/>
                <w:lang w:eastAsia="zh-CN"/>
              </w:rPr>
            </w:pPr>
            <w:r>
              <w:rPr>
                <w:rFonts w:hint="eastAsia" w:ascii="Times New Roman" w:hAnsi="Times New Roman"/>
                <w:color w:val="auto"/>
                <w:lang w:eastAsia="zh-CN"/>
              </w:rPr>
              <w:t>③羊山湿地多用途管理区</w:t>
            </w:r>
          </w:p>
          <w:p>
            <w:pPr>
              <w:spacing w:line="360" w:lineRule="auto"/>
              <w:ind w:firstLine="422"/>
              <w:rPr>
                <w:rFonts w:hint="eastAsia"/>
                <w:color w:val="auto"/>
                <w:lang w:val="en-US" w:eastAsia="zh-CN"/>
              </w:rPr>
            </w:pPr>
            <w:r>
              <w:rPr>
                <w:rFonts w:hint="eastAsia" w:ascii="Times New Roman" w:hAnsi="Times New Roman"/>
                <w:color w:val="auto"/>
                <w:lang w:eastAsia="zh-CN"/>
              </w:rPr>
              <w:t>羊山湿地多用途湿地管理区北临海口市区，南至海口新坡镇，东起海口市龙塘镇，西至海口市石山镇。</w:t>
            </w:r>
            <w:r>
              <w:rPr>
                <w:rFonts w:hint="eastAsia" w:ascii="Times New Roman" w:hAnsi="Times New Roman"/>
                <w:color w:val="auto"/>
                <w:kern w:val="0"/>
                <w:lang w:val="en-US" w:eastAsia="zh-CN"/>
              </w:rPr>
              <w:t>规划总面积36983.00hm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，其中湿地面积83.86hm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w:t>
            </w:r>
            <w:r>
              <w:rPr>
                <w:rFonts w:hint="eastAsia" w:ascii="Times New Roman" w:hAnsi="Times New Roman"/>
                <w:color w:val="auto"/>
                <w:lang w:eastAsia="zh-CN"/>
              </w:rPr>
              <w:t>其保护对象为羊山火山熔岩湿地自然—文化遗产综合体、羊山湿地的水文与水环境和羊山湿地生物多样性（特别是珍稀濒危特有物种及其生境）。规划将其划分为水源涵养与蓄洪生态功能区、火山台地湿地农业发展生态功能区、湿地人居环境优化发展生态功能区</w:t>
            </w:r>
            <w:r>
              <w:rPr>
                <w:rFonts w:hint="eastAsia" w:ascii="Times New Roman" w:hAnsi="Times New Roman"/>
                <w:color w:val="auto"/>
                <w:lang w:val="en-US" w:eastAsia="zh-CN"/>
              </w:rPr>
              <w:t>3个</w:t>
            </w:r>
            <w:r>
              <w:rPr>
                <w:rFonts w:hint="eastAsia" w:ascii="Times New Roman" w:hAnsi="Times New Roman"/>
                <w:color w:val="auto"/>
                <w:lang w:eastAsia="zh-CN"/>
              </w:rPr>
              <w:t>功能分区。</w:t>
            </w:r>
          </w:p>
          <w:p>
            <w:pPr>
              <w:spacing w:line="360" w:lineRule="auto"/>
              <w:ind w:firstLine="422"/>
              <w:rPr>
                <w:rFonts w:hint="default" w:ascii="Times New Roman" w:hAnsi="Times New Roman"/>
                <w:color w:val="auto"/>
                <w:lang w:val="en-US" w:eastAsia="zh-CN"/>
              </w:rPr>
            </w:pPr>
            <w:r>
              <w:rPr>
                <w:rFonts w:hint="eastAsia" w:ascii="Times New Roman" w:hAnsi="Times New Roman"/>
                <w:color w:val="auto"/>
                <w:lang w:eastAsia="zh-CN"/>
              </w:rPr>
              <w:t>本工程线路在其规划范围内走线长</w:t>
            </w:r>
            <w:r>
              <w:rPr>
                <w:rFonts w:ascii="Times New Roman" w:hAnsi="Times New Roman"/>
                <w:color w:val="auto"/>
              </w:rPr>
              <w:t>约</w:t>
            </w:r>
            <w:r>
              <w:rPr>
                <w:rFonts w:hint="eastAsia" w:ascii="Times New Roman" w:hAnsi="Times New Roman"/>
                <w:color w:val="auto"/>
                <w:lang w:val="en-US" w:eastAsia="zh-CN"/>
              </w:rPr>
              <w:t>14</w:t>
            </w:r>
            <w:r>
              <w:rPr>
                <w:rFonts w:ascii="Times New Roman" w:hAnsi="Times New Roman"/>
                <w:color w:val="auto"/>
              </w:rPr>
              <w:t>km</w:t>
            </w:r>
            <w:r>
              <w:rPr>
                <w:rFonts w:hint="eastAsia" w:ascii="Times New Roman" w:hAnsi="Times New Roman"/>
                <w:color w:val="auto"/>
                <w:lang w:eastAsia="zh-CN"/>
              </w:rPr>
              <w:t>，拟立塔</w:t>
            </w:r>
            <w:r>
              <w:rPr>
                <w:rFonts w:hint="eastAsia" w:ascii="Times New Roman" w:hAnsi="Times New Roman"/>
                <w:color w:val="auto"/>
                <w:lang w:val="en-US" w:eastAsia="zh-CN"/>
              </w:rPr>
              <w:t>44基，全部位于</w:t>
            </w:r>
            <w:r>
              <w:rPr>
                <w:rFonts w:hint="eastAsia" w:ascii="Times New Roman" w:hAnsi="Times New Roman"/>
                <w:color w:val="auto"/>
                <w:lang w:eastAsia="zh-CN"/>
              </w:rPr>
              <w:t>水源涵养与蓄洪生态功能区内。</w:t>
            </w:r>
            <w:r>
              <w:rPr>
                <w:rFonts w:hint="eastAsia" w:ascii="Times New Roman" w:hAnsi="Calibri" w:cs="Times New Roman"/>
                <w:color w:val="auto"/>
                <w:kern w:val="2"/>
                <w:sz w:val="21"/>
                <w:szCs w:val="21"/>
                <w:lang w:val="en-US" w:eastAsia="zh-CN" w:bidi="ar-SA"/>
              </w:rPr>
              <w:t>其</w:t>
            </w:r>
            <w:r>
              <w:rPr>
                <w:rFonts w:hint="eastAsia" w:ascii="Times New Roman"/>
                <w:color w:val="auto"/>
                <w:lang w:val="en-US" w:eastAsia="zh-CN"/>
              </w:rPr>
              <w:t>中与海南省省级生态保护红线区、</w:t>
            </w:r>
            <w:r>
              <w:rPr>
                <w:rFonts w:hint="eastAsia" w:ascii="Times New Roman"/>
                <w:color w:val="auto"/>
                <w:lang w:eastAsia="zh-CN"/>
              </w:rPr>
              <w:t>南渡江龙塘饮用水水源保护区和</w:t>
            </w:r>
            <w:r>
              <w:rPr>
                <w:rFonts w:hint="eastAsia" w:ascii="Times New Roman"/>
                <w:color w:val="auto"/>
                <w:lang w:val="en-US" w:eastAsia="zh-CN"/>
              </w:rPr>
              <w:t>新旧沟湿地乡村公园内拟立塔重合的共计22基。</w:t>
            </w:r>
          </w:p>
          <w:p>
            <w:pPr>
              <w:spacing w:line="360" w:lineRule="auto"/>
              <w:ind w:firstLine="422"/>
              <w:rPr>
                <w:rFonts w:hint="eastAsia" w:ascii="Times New Roman" w:hAnsi="Times New Roman"/>
                <w:b/>
                <w:color w:val="auto"/>
                <w:szCs w:val="20"/>
                <w:lang w:val="en-US" w:eastAsia="zh-CN"/>
              </w:rPr>
            </w:pPr>
            <w:r>
              <w:rPr>
                <w:rFonts w:hint="eastAsia" w:ascii="Times New Roman" w:hAnsi="Times New Roman"/>
                <w:b/>
                <w:color w:val="auto"/>
                <w:szCs w:val="20"/>
                <w:lang w:val="en-US" w:eastAsia="zh-CN"/>
              </w:rPr>
              <w:t>6、地表水</w:t>
            </w:r>
            <w:r>
              <w:rPr>
                <w:rFonts w:hint="eastAsia" w:ascii="Times New Roman"/>
                <w:b/>
                <w:color w:val="auto"/>
                <w:lang w:val="en-US" w:eastAsia="zh-CN"/>
              </w:rPr>
              <w:t>饮用水</w:t>
            </w:r>
            <w:r>
              <w:rPr>
                <w:rFonts w:hint="eastAsia" w:ascii="Times New Roman" w:hAnsi="Times New Roman"/>
                <w:b/>
                <w:color w:val="auto"/>
                <w:szCs w:val="20"/>
                <w:lang w:val="en-US" w:eastAsia="zh-CN"/>
              </w:rPr>
              <w:t>水源保护区</w:t>
            </w:r>
          </w:p>
          <w:p>
            <w:pPr>
              <w:spacing w:line="360" w:lineRule="auto"/>
              <w:ind w:firstLine="422"/>
              <w:rPr>
                <w:rFonts w:hint="eastAsia" w:ascii="Times New Roman" w:hAnsi="Times New Roman"/>
                <w:color w:val="auto"/>
                <w:kern w:val="0"/>
                <w:lang w:val="en-US" w:eastAsia="zh-CN"/>
              </w:rPr>
            </w:pPr>
            <w:r>
              <w:rPr>
                <w:rFonts w:hint="eastAsia" w:ascii="Times New Roman" w:hAnsi="Times New Roman"/>
                <w:color w:val="auto"/>
                <w:kern w:val="0"/>
                <w:lang w:val="en-US" w:eastAsia="zh-CN"/>
              </w:rPr>
              <w:t>海口市南渡江龙塘饮用水水源保护区于2005年由海南省人民政府以琼府函[2005]65号文予以划定饮用水水源保护区，并由海南省人民政府分别于2011年（琼府办函[2011]146号）和2019年（琼府办函[2019]97号）对该饮用水水源保护区进行修编和调整。最终饮用水水源保护区划定方案如下：</w:t>
            </w:r>
          </w:p>
          <w:p>
            <w:pPr>
              <w:spacing w:line="360" w:lineRule="auto"/>
              <w:ind w:firstLine="422"/>
              <w:rPr>
                <w:rFonts w:hint="eastAsia" w:ascii="Times New Roman" w:hAnsi="Times New Roman"/>
                <w:color w:val="auto"/>
                <w:kern w:val="0"/>
                <w:lang w:val="en-US" w:eastAsia="zh-CN"/>
              </w:rPr>
            </w:pPr>
            <w:r>
              <w:rPr>
                <w:rFonts w:hint="eastAsia" w:ascii="Times New Roman" w:hAnsi="Times New Roman"/>
                <w:color w:val="auto"/>
                <w:kern w:val="0"/>
                <w:lang w:val="en-US" w:eastAsia="zh-CN"/>
              </w:rPr>
              <w:t>龙塘饮用水源保护区分为一级保护区、二级保护区和准保护区，保护区的总面积为12.7651km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。其中水域面积为4.8259km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，陆域面积为7.9392km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w:t>
            </w:r>
          </w:p>
          <w:p>
            <w:pPr>
              <w:spacing w:line="360" w:lineRule="auto"/>
              <w:ind w:firstLine="422"/>
              <w:rPr>
                <w:rFonts w:hint="eastAsia" w:ascii="Times New Roman" w:hAnsi="Times New Roman"/>
                <w:color w:val="auto"/>
                <w:kern w:val="0"/>
                <w:lang w:val="en-US" w:eastAsia="zh-CN"/>
              </w:rPr>
            </w:pPr>
            <w:r>
              <w:rPr>
                <w:rFonts w:hint="eastAsia" w:ascii="Times New Roman" w:hAnsi="Times New Roman"/>
                <w:color w:val="auto"/>
                <w:kern w:val="0"/>
                <w:lang w:val="en-US" w:eastAsia="zh-CN"/>
              </w:rPr>
              <w:t>一级保护区：总面积0.7395km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。水域范围的上边界为龙塘右泵站取水口上游1000m处，下边界为龙塘水源厂取水口下游100m处，水域宽度为5年一遇洪水位所淹没的区域，干流水域总长1300m，水域面积0.5933km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。陆域范围为干流两侧扩展50m，在50m范围内有防洪堤的以防洪堤为界，超过上坝公路的以上坝公路为界，陆域面积0.1462km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w:t>
            </w:r>
          </w:p>
          <w:p>
            <w:pPr>
              <w:spacing w:line="360" w:lineRule="auto"/>
              <w:ind w:firstLine="422"/>
              <w:rPr>
                <w:rFonts w:hint="eastAsia" w:ascii="Times New Roman" w:hAnsi="Times New Roman"/>
                <w:color w:val="auto"/>
                <w:kern w:val="0"/>
                <w:lang w:val="en-US" w:eastAsia="zh-CN"/>
              </w:rPr>
            </w:pPr>
            <w:r>
              <w:rPr>
                <w:rFonts w:hint="eastAsia" w:ascii="Times New Roman" w:hAnsi="Times New Roman"/>
                <w:color w:val="auto"/>
                <w:kern w:val="0"/>
                <w:lang w:val="en-US" w:eastAsia="zh-CN"/>
              </w:rPr>
              <w:t>二级保护区：总面积2.8572km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水域范围包括一级保护区水域上边界向上游延伸2000m、一级保护区水域下边界向下游延伸250m至龙塘水坝下边界处的干流水域（干流水域总长2250m），以及向支流新旧沟上溯500m的支流水域；干流水域宽度采用10年一遇洪水位淹没的水面宽，支流水域宽为河道宽，水域面积1.4297k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陆域范围为一级保护区陆域边界和二级保护区水域边界向两侧扩展200m，在200m范围内有防洪堤的以防洪堤为界，有公路的以公路或乡村道路为界，其中左岸龙塘圩镇处以防洪堤、临江公路为界，右岸超过临近河道第一重山的以山脊线为界，有防洪堤的以防洪堤坝为界；向支流新旧沟水域两侧扩展100m为二级陆域保护区。陆域面积1.4275k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w:t>
            </w:r>
          </w:p>
          <w:p>
            <w:pPr>
              <w:spacing w:line="360" w:lineRule="auto"/>
              <w:ind w:firstLine="422"/>
              <w:rPr>
                <w:rFonts w:hint="eastAsia" w:ascii="Times New Roman" w:hAnsi="Times New Roman"/>
                <w:color w:val="auto"/>
                <w:kern w:val="0"/>
                <w:lang w:val="en-US" w:eastAsia="zh-CN"/>
              </w:rPr>
            </w:pPr>
            <w:r>
              <w:rPr>
                <w:rFonts w:hint="eastAsia" w:ascii="Times New Roman" w:hAnsi="Times New Roman"/>
                <w:color w:val="auto"/>
                <w:kern w:val="0"/>
                <w:lang w:val="en-US" w:eastAsia="zh-CN"/>
              </w:rPr>
              <w:t>准保护区：总面积9.1684km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水域范围包括二级保护区干流水域上边界向上游延伸到龙泉镇榔子头村处，水域宽度采用河道多年平均正常水位（龙塘水文站12.5m）淹没的水域范为准保护区干流水域；由支流新旧沟二级保护区水域上边界上溯1500m、由支流三十六曲溪上延1000m的支流水域，水域宽度采用河道多年平均正常水位淹没的水面宽；水域面积2.8029k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。陆域范围为干流水域边界向两侧扩展500m，支流水域边界向两侧扩展200m，超过山脊线的以山脊线为界，陆域面积6.3655km</w:t>
            </w:r>
            <w:r>
              <w:rPr>
                <w:rFonts w:hint="eastAsia" w:ascii="Times New Roman" w:hAnsi="Times New Roman"/>
                <w:color w:val="auto"/>
                <w:kern w:val="0"/>
                <w:vertAlign w:val="superscript"/>
                <w:lang w:val="en-US" w:eastAsia="zh-CN"/>
              </w:rPr>
              <w:t>2</w:t>
            </w:r>
            <w:r>
              <w:rPr>
                <w:rFonts w:hint="eastAsia" w:ascii="Times New Roman" w:hAnsi="Times New Roman"/>
                <w:color w:val="auto"/>
                <w:kern w:val="0"/>
                <w:lang w:val="en-US" w:eastAsia="zh-CN"/>
              </w:rPr>
              <w:t>。</w:t>
            </w:r>
          </w:p>
          <w:p>
            <w:pPr>
              <w:spacing w:line="360" w:lineRule="auto"/>
              <w:ind w:firstLine="422"/>
              <w:rPr>
                <w:rFonts w:hint="eastAsia" w:ascii="Times New Roman" w:hAnsi="Times New Roman"/>
                <w:color w:val="auto"/>
                <w:kern w:val="0"/>
                <w:lang w:val="en-US" w:eastAsia="zh-CN"/>
              </w:rPr>
            </w:pPr>
            <w:r>
              <w:rPr>
                <w:rFonts w:hint="eastAsia" w:ascii="Times New Roman" w:hAnsi="Times New Roman"/>
                <w:color w:val="auto"/>
                <w:kern w:val="0"/>
                <w:lang w:val="en-US" w:eastAsia="zh-CN"/>
              </w:rPr>
              <w:t>根据收资调查及现场踏勘，本工程线路穿越海口市南渡江龙塘饮用水水源保护区。线路跨越具体情况如下：</w:t>
            </w:r>
          </w:p>
          <w:p>
            <w:pPr>
              <w:spacing w:line="360" w:lineRule="auto"/>
              <w:ind w:firstLine="422"/>
              <w:rPr>
                <w:rFonts w:hint="eastAsia" w:ascii="Times New Roman" w:hAnsi="Times New Roman"/>
                <w:color w:val="auto"/>
                <w:kern w:val="0"/>
                <w:lang w:val="en-US" w:eastAsia="zh-CN"/>
              </w:rPr>
            </w:pPr>
            <w:r>
              <w:rPr>
                <w:rFonts w:hint="eastAsia" w:ascii="Times New Roman" w:hAnsi="Times New Roman"/>
                <w:color w:val="auto"/>
                <w:kern w:val="0"/>
                <w:lang w:val="en-US" w:eastAsia="zh-CN"/>
              </w:rPr>
              <w:t>本工程线路在饮用水水源保护区走线约3.8km，线路跨越饮用水水源保护区二级水域保护区2次，跨越水域总长约0.1km，线路跨越二级陆域保护区总长约0.3km，拟立塔1基。线路跨越饮用水水源保护区准保护区水域1次，跨越水域总长约0.4km，线路跨越准保护区陆域总长约3.0km，拟立塔9基。海口市南渡江龙塘饮用水水源取水口位于本工程线路跨越南渡江龙塘段的上游，距离线路最近（即拟立塔位最近）约1.4km。</w:t>
            </w:r>
          </w:p>
          <w:p>
            <w:pPr>
              <w:spacing w:line="360" w:lineRule="auto"/>
              <w:ind w:firstLine="422"/>
              <w:rPr>
                <w:rFonts w:hint="eastAsia" w:ascii="Times New Roman" w:hAnsi="Times New Roman"/>
                <w:b/>
                <w:color w:val="auto"/>
                <w:szCs w:val="20"/>
              </w:rPr>
            </w:pPr>
            <w:r>
              <w:rPr>
                <w:rFonts w:hint="eastAsia" w:ascii="Times New Roman" w:hAnsi="Times New Roman"/>
                <w:b/>
                <w:color w:val="auto"/>
                <w:szCs w:val="20"/>
                <w:lang w:val="en-US" w:eastAsia="zh-CN"/>
              </w:rPr>
              <w:t>7</w:t>
            </w:r>
            <w:r>
              <w:rPr>
                <w:rFonts w:hint="eastAsia" w:ascii="Times New Roman" w:hAnsi="Times New Roman"/>
                <w:b/>
                <w:color w:val="auto"/>
                <w:szCs w:val="20"/>
              </w:rPr>
              <w:t>、生态保护红线区</w:t>
            </w:r>
          </w:p>
          <w:p>
            <w:pPr>
              <w:spacing w:line="360" w:lineRule="auto"/>
              <w:ind w:firstLine="420" w:firstLineChars="200"/>
              <w:rPr>
                <w:rFonts w:ascii="Times New Roman" w:hAnsi="Times New Roman"/>
                <w:color w:val="auto"/>
                <w:szCs w:val="20"/>
              </w:rPr>
            </w:pPr>
            <w:r>
              <w:rPr>
                <w:rFonts w:hint="eastAsia" w:ascii="Times New Roman" w:hAnsi="Times New Roman"/>
                <w:color w:val="auto"/>
                <w:szCs w:val="20"/>
              </w:rPr>
              <w:t>海南省生态保护红线于2</w:t>
            </w:r>
            <w:r>
              <w:rPr>
                <w:rFonts w:ascii="Times New Roman" w:hAnsi="Times New Roman"/>
                <w:color w:val="auto"/>
                <w:szCs w:val="20"/>
              </w:rPr>
              <w:t>016年由海南省人民政府划定</w:t>
            </w:r>
            <w:r>
              <w:rPr>
                <w:rFonts w:hint="eastAsia" w:ascii="Times New Roman" w:hAnsi="Times New Roman"/>
                <w:color w:val="auto"/>
                <w:szCs w:val="20"/>
              </w:rPr>
              <w:t>，</w:t>
            </w:r>
            <w:r>
              <w:rPr>
                <w:rFonts w:ascii="Times New Roman" w:hAnsi="Times New Roman"/>
                <w:color w:val="auto"/>
                <w:szCs w:val="20"/>
              </w:rPr>
              <w:t>包括陆域生态保护红线和近岸海域生态保护红线两部分</w:t>
            </w:r>
            <w:r>
              <w:rPr>
                <w:rFonts w:hint="eastAsia" w:ascii="Times New Roman" w:hAnsi="Times New Roman"/>
                <w:color w:val="auto"/>
                <w:szCs w:val="20"/>
              </w:rPr>
              <w:t>。</w:t>
            </w:r>
            <w:r>
              <w:rPr>
                <w:rFonts w:ascii="Times New Roman" w:hAnsi="Times New Roman"/>
                <w:color w:val="auto"/>
                <w:szCs w:val="20"/>
              </w:rPr>
              <w:t>陆域生态保护红线总面积11535</w:t>
            </w:r>
            <w:r>
              <w:rPr>
                <w:rFonts w:hint="eastAsia" w:ascii="Times New Roman" w:hAnsi="Times New Roman"/>
                <w:color w:val="auto"/>
                <w:szCs w:val="20"/>
              </w:rPr>
              <w:t>km</w:t>
            </w:r>
            <w:r>
              <w:rPr>
                <w:rFonts w:hint="eastAsia" w:ascii="Times New Roman" w:hAnsi="Times New Roman"/>
                <w:color w:val="auto"/>
                <w:szCs w:val="20"/>
                <w:vertAlign w:val="superscript"/>
              </w:rPr>
              <w:t>2</w:t>
            </w:r>
            <w:r>
              <w:rPr>
                <w:rFonts w:ascii="Times New Roman" w:hAnsi="Times New Roman"/>
                <w:color w:val="auto"/>
                <w:szCs w:val="20"/>
              </w:rPr>
              <w:t>，占陆域面积33.5%，岸海域生态保护红线总面积8316.6</w:t>
            </w:r>
            <w:r>
              <w:rPr>
                <w:rFonts w:hint="eastAsia" w:ascii="Times New Roman" w:hAnsi="Times New Roman"/>
                <w:color w:val="auto"/>
                <w:szCs w:val="20"/>
              </w:rPr>
              <w:t>km</w:t>
            </w:r>
            <w:r>
              <w:rPr>
                <w:rFonts w:hint="eastAsia" w:ascii="Times New Roman" w:hAnsi="Times New Roman"/>
                <w:color w:val="auto"/>
                <w:szCs w:val="20"/>
                <w:vertAlign w:val="superscript"/>
              </w:rPr>
              <w:t>2</w:t>
            </w:r>
            <w:r>
              <w:rPr>
                <w:rFonts w:ascii="Times New Roman" w:hAnsi="Times New Roman"/>
                <w:color w:val="auto"/>
                <w:szCs w:val="20"/>
              </w:rPr>
              <w:t>，占海南岛近岸海域总面积35.1%。在空间上基于山形水系框架，以中部山区的霸王岭、五指山、鹦哥岭、黎母山、吊罗山、尖峰岭等主要山体为核心，以松涛、大广坝、牛路岭等重要湖库为空间节点，以自然保护区廊道、主要河流和海岸带为生态廊道，形成“一心多廊、山海相连、河湖相串”的基本生态保护红线空间格局。</w:t>
            </w:r>
          </w:p>
          <w:p>
            <w:pPr>
              <w:spacing w:line="360" w:lineRule="auto"/>
              <w:ind w:firstLine="420"/>
              <w:rPr>
                <w:rFonts w:hint="eastAsia" w:ascii="Times New Roman" w:hAnsi="Times New Roman"/>
                <w:color w:val="auto"/>
              </w:rPr>
            </w:pPr>
            <w:r>
              <w:rPr>
                <w:rFonts w:ascii="Times New Roman"/>
                <w:color w:val="auto"/>
              </w:rPr>
              <w:t>根据海南省人民政府（琼府</w:t>
            </w:r>
            <w:r>
              <w:rPr>
                <w:rFonts w:ascii="Times New Roman" w:hAnsi="Times New Roman"/>
                <w:color w:val="auto"/>
              </w:rPr>
              <w:t>[2016]90</w:t>
            </w:r>
            <w:r>
              <w:rPr>
                <w:rFonts w:ascii="Times New Roman"/>
                <w:color w:val="auto"/>
              </w:rPr>
              <w:t>号）《海南省人民政府关于划定海南省生态保护红线的通告》及海南省省级生态保护红线发布系统（</w:t>
            </w:r>
            <w:r>
              <w:rPr>
                <w:rFonts w:ascii="Times New Roman" w:hAnsi="Times New Roman"/>
                <w:color w:val="auto"/>
              </w:rPr>
              <w:fldChar w:fldCharType="begin"/>
            </w:r>
            <w:r>
              <w:rPr>
                <w:rFonts w:ascii="Times New Roman" w:hAnsi="Times New Roman"/>
                <w:color w:val="auto"/>
              </w:rPr>
              <w:instrText xml:space="preserve">HYPERLINK "http://218.77.183.85/hbt/index.html?n"</w:instrText>
            </w:r>
            <w:r>
              <w:rPr>
                <w:rFonts w:ascii="Times New Roman" w:hAnsi="Times New Roman"/>
                <w:color w:val="auto"/>
              </w:rPr>
              <w:fldChar w:fldCharType="separate"/>
            </w:r>
            <w:r>
              <w:rPr>
                <w:rStyle w:val="48"/>
                <w:rFonts w:ascii="Times New Roman" w:hAnsi="Times New Roman"/>
                <w:color w:val="auto"/>
              </w:rPr>
              <w:t>http://218.77.183.85/hbt/index.html?n</w:t>
            </w:r>
            <w:r>
              <w:rPr>
                <w:rFonts w:ascii="Times New Roman" w:hAnsi="Times New Roman"/>
                <w:color w:val="auto"/>
              </w:rPr>
              <w:fldChar w:fldCharType="end"/>
            </w:r>
            <w:r>
              <w:rPr>
                <w:rFonts w:ascii="Times New Roman"/>
                <w:color w:val="auto"/>
              </w:rPr>
              <w:t>）查询，</w:t>
            </w:r>
            <w:r>
              <w:rPr>
                <w:rFonts w:hint="eastAsia" w:ascii="Times New Roman" w:hAnsi="Times New Roman"/>
                <w:color w:val="auto"/>
                <w:szCs w:val="20"/>
              </w:rPr>
              <w:t>本工程</w:t>
            </w:r>
            <w:r>
              <w:rPr>
                <w:rFonts w:ascii="Times New Roman" w:hAnsi="Times New Roman"/>
                <w:color w:val="auto"/>
                <w:szCs w:val="20"/>
              </w:rPr>
              <w:t>线路在</w:t>
            </w:r>
            <w:r>
              <w:rPr>
                <w:rFonts w:hint="eastAsia" w:ascii="Times New Roman" w:hAnsi="Times New Roman"/>
                <w:color w:val="auto"/>
                <w:szCs w:val="20"/>
                <w:lang w:eastAsia="zh-CN"/>
              </w:rPr>
              <w:t>海口市琼山区凤翔街道办永田村附近</w:t>
            </w:r>
            <w:r>
              <w:rPr>
                <w:rFonts w:hint="eastAsia" w:ascii="Times New Roman" w:hAnsi="Times New Roman"/>
                <w:color w:val="auto"/>
                <w:szCs w:val="20"/>
              </w:rPr>
              <w:t>穿越</w:t>
            </w:r>
            <w:r>
              <w:rPr>
                <w:rFonts w:ascii="Times New Roman" w:hAnsi="Times New Roman"/>
                <w:color w:val="auto"/>
              </w:rPr>
              <w:t>海南省陆域生态保护红线区中的</w:t>
            </w:r>
            <w:r>
              <w:rPr>
                <w:rFonts w:hint="eastAsia" w:ascii="Times New Roman" w:hAnsi="Times New Roman"/>
                <w:color w:val="auto"/>
              </w:rPr>
              <w:t>海南岛生物多样性保护</w:t>
            </w:r>
            <w:r>
              <w:rPr>
                <w:rFonts w:hint="eastAsia" w:ascii="Times New Roman" w:hAnsi="Times New Roman"/>
                <w:color w:val="auto"/>
                <w:lang w:eastAsia="zh-CN"/>
              </w:rPr>
              <w:t>Ⅱ</w:t>
            </w:r>
            <w:r>
              <w:rPr>
                <w:rFonts w:hint="eastAsia" w:ascii="Times New Roman" w:hAnsi="Times New Roman"/>
                <w:color w:val="auto"/>
              </w:rPr>
              <w:t>类红线区</w:t>
            </w:r>
            <w:r>
              <w:rPr>
                <w:rFonts w:ascii="Times New Roman" w:hAnsi="Times New Roman"/>
                <w:color w:val="auto"/>
              </w:rPr>
              <w:t>，线路</w:t>
            </w:r>
            <w:r>
              <w:rPr>
                <w:rFonts w:hint="eastAsia" w:ascii="Times New Roman" w:hAnsi="Times New Roman"/>
                <w:color w:val="auto"/>
                <w:lang w:eastAsia="zh-CN"/>
              </w:rPr>
              <w:t>穿</w:t>
            </w:r>
            <w:r>
              <w:rPr>
                <w:rFonts w:ascii="Times New Roman" w:hAnsi="Times New Roman"/>
                <w:color w:val="auto"/>
              </w:rPr>
              <w:t>越长度约</w:t>
            </w:r>
            <w:r>
              <w:rPr>
                <w:rFonts w:hint="eastAsia" w:ascii="Times New Roman" w:hAnsi="Times New Roman"/>
                <w:color w:val="auto"/>
                <w:lang w:val="en-US" w:eastAsia="zh-CN"/>
              </w:rPr>
              <w:t>1.33</w:t>
            </w:r>
            <w:r>
              <w:rPr>
                <w:rFonts w:hint="eastAsia" w:ascii="Times New Roman" w:hAnsi="Times New Roman"/>
                <w:color w:val="auto"/>
              </w:rPr>
              <w:t>k</w:t>
            </w:r>
            <w:r>
              <w:rPr>
                <w:rFonts w:ascii="Times New Roman" w:hAnsi="Times New Roman"/>
                <w:color w:val="auto"/>
              </w:rPr>
              <w:t>m</w:t>
            </w:r>
            <w:r>
              <w:rPr>
                <w:rFonts w:hint="eastAsia" w:ascii="Times New Roman" w:hAnsi="Times New Roman"/>
                <w:color w:val="auto"/>
              </w:rPr>
              <w:t>，</w:t>
            </w:r>
            <w:r>
              <w:rPr>
                <w:rFonts w:hint="eastAsia" w:ascii="Times New Roman" w:hAnsi="Times New Roman"/>
                <w:color w:val="auto"/>
                <w:lang w:eastAsia="zh-CN"/>
              </w:rPr>
              <w:t>拟</w:t>
            </w:r>
            <w:r>
              <w:rPr>
                <w:rFonts w:hint="eastAsia" w:ascii="Times New Roman" w:hAnsi="Times New Roman"/>
                <w:color w:val="auto"/>
              </w:rPr>
              <w:t>立塔</w:t>
            </w:r>
            <w:r>
              <w:rPr>
                <w:rFonts w:hint="eastAsia" w:ascii="Times New Roman" w:hAnsi="Times New Roman"/>
                <w:color w:val="auto"/>
                <w:lang w:val="en-US" w:eastAsia="zh-CN"/>
              </w:rPr>
              <w:t>5</w:t>
            </w:r>
            <w:r>
              <w:rPr>
                <w:rFonts w:hint="eastAsia" w:ascii="Times New Roman" w:hAnsi="Times New Roman"/>
                <w:color w:val="auto"/>
              </w:rPr>
              <w:t>基。</w:t>
            </w:r>
            <w:r>
              <w:rPr>
                <w:rFonts w:ascii="Times New Roman" w:hAnsi="Times New Roman"/>
                <w:color w:val="auto"/>
              </w:rPr>
              <w:t>线路在</w:t>
            </w:r>
            <w:r>
              <w:rPr>
                <w:rFonts w:hint="eastAsia" w:ascii="Times New Roman" w:hAnsi="Times New Roman"/>
                <w:color w:val="auto"/>
                <w:szCs w:val="20"/>
                <w:lang w:eastAsia="zh-CN"/>
              </w:rPr>
              <w:t>海口市琼山区龙塘镇儒贡村</w:t>
            </w:r>
            <w:r>
              <w:rPr>
                <w:rFonts w:hint="eastAsia" w:ascii="Times New Roman" w:hAnsi="Times New Roman"/>
                <w:color w:val="auto"/>
                <w:lang w:eastAsia="zh-CN"/>
              </w:rPr>
              <w:t>北</w:t>
            </w:r>
            <w:r>
              <w:rPr>
                <w:rFonts w:ascii="Times New Roman" w:hAnsi="Times New Roman"/>
                <w:color w:val="auto"/>
              </w:rPr>
              <w:t>侧穿越海南省陆域生态保护红线区中的</w:t>
            </w:r>
            <w:r>
              <w:rPr>
                <w:rFonts w:hint="eastAsia" w:ascii="Times New Roman" w:hAnsi="Times New Roman"/>
                <w:color w:val="auto"/>
              </w:rPr>
              <w:t>海南岛水源保护与水源涵养</w:t>
            </w:r>
            <w:r>
              <w:rPr>
                <w:rFonts w:hint="eastAsia" w:ascii="Times New Roman" w:hAnsi="Times New Roman"/>
                <w:color w:val="auto"/>
                <w:lang w:eastAsia="zh-CN"/>
              </w:rPr>
              <w:t>Ⅱ</w:t>
            </w:r>
            <w:r>
              <w:rPr>
                <w:rFonts w:hint="eastAsia" w:ascii="Times New Roman" w:hAnsi="Times New Roman"/>
                <w:color w:val="auto"/>
              </w:rPr>
              <w:t>类红线区</w:t>
            </w:r>
            <w:r>
              <w:rPr>
                <w:rFonts w:ascii="Times New Roman" w:hAnsi="Times New Roman"/>
                <w:color w:val="auto"/>
              </w:rPr>
              <w:t>，线路</w:t>
            </w:r>
            <w:r>
              <w:rPr>
                <w:rFonts w:hint="eastAsia" w:ascii="Times New Roman" w:hAnsi="Times New Roman"/>
                <w:color w:val="auto"/>
                <w:lang w:eastAsia="zh-CN"/>
              </w:rPr>
              <w:t>穿</w:t>
            </w:r>
            <w:r>
              <w:rPr>
                <w:rFonts w:ascii="Times New Roman" w:hAnsi="Times New Roman"/>
                <w:color w:val="auto"/>
              </w:rPr>
              <w:t>越长度约</w:t>
            </w:r>
            <w:r>
              <w:rPr>
                <w:rFonts w:hint="eastAsia" w:ascii="Times New Roman" w:hAnsi="Times New Roman"/>
                <w:color w:val="auto"/>
              </w:rPr>
              <w:t>1.</w:t>
            </w:r>
            <w:r>
              <w:rPr>
                <w:rFonts w:hint="eastAsia" w:ascii="Times New Roman" w:hAnsi="Times New Roman"/>
                <w:color w:val="auto"/>
                <w:lang w:val="en-US" w:eastAsia="zh-CN"/>
              </w:rPr>
              <w:t>65</w:t>
            </w:r>
            <w:r>
              <w:rPr>
                <w:rFonts w:hint="eastAsia" w:ascii="Times New Roman" w:hAnsi="Times New Roman"/>
                <w:color w:val="auto"/>
              </w:rPr>
              <w:t>k</w:t>
            </w:r>
            <w:r>
              <w:rPr>
                <w:rFonts w:ascii="Times New Roman" w:hAnsi="Times New Roman"/>
                <w:color w:val="auto"/>
              </w:rPr>
              <w:t>m</w:t>
            </w:r>
            <w:r>
              <w:rPr>
                <w:rFonts w:hint="eastAsia" w:ascii="Times New Roman" w:hAnsi="Times New Roman"/>
                <w:color w:val="auto"/>
              </w:rPr>
              <w:t>，</w:t>
            </w:r>
            <w:r>
              <w:rPr>
                <w:rFonts w:hint="eastAsia" w:ascii="Times New Roman" w:hAnsi="Times New Roman"/>
                <w:color w:val="auto"/>
                <w:lang w:eastAsia="zh-CN"/>
              </w:rPr>
              <w:t>拟</w:t>
            </w:r>
            <w:r>
              <w:rPr>
                <w:rFonts w:hint="eastAsia" w:ascii="Times New Roman" w:hAnsi="Times New Roman"/>
                <w:color w:val="auto"/>
              </w:rPr>
              <w:t>立塔</w:t>
            </w:r>
            <w:r>
              <w:rPr>
                <w:rFonts w:hint="eastAsia" w:ascii="Times New Roman" w:hAnsi="Times New Roman"/>
                <w:color w:val="auto"/>
                <w:lang w:val="en-US" w:eastAsia="zh-CN"/>
              </w:rPr>
              <w:t>5</w:t>
            </w:r>
            <w:r>
              <w:rPr>
                <w:rFonts w:hint="eastAsia" w:ascii="Times New Roman" w:hAnsi="Times New Roman"/>
                <w:color w:val="auto"/>
              </w:rPr>
              <w:t>基</w:t>
            </w:r>
            <w:r>
              <w:rPr>
                <w:rFonts w:ascii="Times New Roman" w:hAnsi="Times New Roman"/>
                <w:color w:val="auto"/>
              </w:rPr>
              <w:t>。线路在</w:t>
            </w:r>
            <w:r>
              <w:rPr>
                <w:rFonts w:hint="eastAsia" w:ascii="Times New Roman" w:hAnsi="Times New Roman"/>
                <w:color w:val="auto"/>
                <w:szCs w:val="20"/>
                <w:lang w:eastAsia="zh-CN"/>
              </w:rPr>
              <w:t>口市琼山区龙塘美隆村附近</w:t>
            </w:r>
            <w:r>
              <w:rPr>
                <w:rFonts w:hint="eastAsia" w:ascii="Times New Roman" w:hAnsi="Times New Roman"/>
                <w:color w:val="auto"/>
                <w:lang w:eastAsia="zh-CN"/>
              </w:rPr>
              <w:t>跨</w:t>
            </w:r>
            <w:r>
              <w:rPr>
                <w:rFonts w:ascii="Times New Roman" w:hAnsi="Times New Roman"/>
                <w:color w:val="auto"/>
              </w:rPr>
              <w:t>越海南省陆域生态保护红线区中的</w:t>
            </w:r>
            <w:r>
              <w:rPr>
                <w:rFonts w:hint="eastAsia" w:ascii="Times New Roman" w:hAnsi="Times New Roman"/>
                <w:color w:val="auto"/>
              </w:rPr>
              <w:t>海南岛生物多样性保护</w:t>
            </w:r>
            <w:r>
              <w:rPr>
                <w:rFonts w:hint="eastAsia" w:ascii="Times New Roman" w:hAnsi="Times New Roman"/>
                <w:color w:val="auto"/>
                <w:lang w:eastAsia="zh-CN"/>
              </w:rPr>
              <w:t>Ⅱ</w:t>
            </w:r>
            <w:r>
              <w:rPr>
                <w:rFonts w:hint="eastAsia" w:ascii="Times New Roman" w:hAnsi="Times New Roman"/>
                <w:color w:val="auto"/>
              </w:rPr>
              <w:t>类红线区，</w:t>
            </w:r>
            <w:r>
              <w:rPr>
                <w:rFonts w:ascii="Times New Roman" w:hAnsi="Times New Roman"/>
                <w:color w:val="auto"/>
              </w:rPr>
              <w:t>线路跨越长度约</w:t>
            </w:r>
            <w:r>
              <w:rPr>
                <w:rFonts w:hint="eastAsia" w:ascii="Times New Roman" w:hAnsi="Times New Roman"/>
                <w:color w:val="auto"/>
                <w:lang w:val="en-US" w:eastAsia="zh-CN"/>
              </w:rPr>
              <w:t>0.18</w:t>
            </w:r>
            <w:r>
              <w:rPr>
                <w:rFonts w:ascii="Times New Roman" w:hAnsi="Times New Roman"/>
                <w:color w:val="auto"/>
              </w:rPr>
              <w:t>km</w:t>
            </w:r>
            <w:r>
              <w:rPr>
                <w:rFonts w:hint="eastAsia" w:ascii="Times New Roman" w:hAnsi="Times New Roman"/>
                <w:color w:val="auto"/>
              </w:rPr>
              <w:t>，一档跨越，</w:t>
            </w:r>
            <w:r>
              <w:rPr>
                <w:rFonts w:hint="eastAsia" w:ascii="Times New Roman" w:hAnsi="Times New Roman"/>
                <w:color w:val="auto"/>
                <w:lang w:eastAsia="zh-CN"/>
              </w:rPr>
              <w:t>不立塔</w:t>
            </w:r>
            <w:r>
              <w:rPr>
                <w:rFonts w:hint="eastAsia" w:ascii="Times New Roman" w:hAnsi="Times New Roman"/>
                <w:color w:val="auto"/>
              </w:rPr>
              <w:t>。</w:t>
            </w:r>
            <w:r>
              <w:rPr>
                <w:rFonts w:ascii="Times New Roman" w:hAnsi="Times New Roman"/>
                <w:color w:val="auto"/>
              </w:rPr>
              <w:t>线路在</w:t>
            </w:r>
            <w:r>
              <w:rPr>
                <w:rFonts w:hint="eastAsia" w:ascii="Times New Roman" w:hAnsi="Times New Roman"/>
                <w:color w:val="auto"/>
                <w:lang w:eastAsia="zh-CN"/>
              </w:rPr>
              <w:t>海口市琼山区龙塘镇与云龙镇交界处附近</w:t>
            </w:r>
            <w:r>
              <w:rPr>
                <w:rFonts w:ascii="Times New Roman" w:hAnsi="Times New Roman"/>
                <w:color w:val="auto"/>
              </w:rPr>
              <w:t>穿越海南省陆域生态保护红线区中的</w:t>
            </w:r>
            <w:r>
              <w:rPr>
                <w:rFonts w:hint="eastAsia" w:ascii="Times New Roman" w:hAnsi="Times New Roman"/>
                <w:color w:val="auto"/>
              </w:rPr>
              <w:t>海南岛水源保护与水源涵养</w:t>
            </w:r>
            <w:r>
              <w:rPr>
                <w:rFonts w:hint="eastAsia" w:ascii="Times New Roman" w:hAnsi="Times New Roman"/>
                <w:color w:val="auto"/>
                <w:lang w:eastAsia="zh-CN"/>
              </w:rPr>
              <w:t>Ⅱ</w:t>
            </w:r>
            <w:r>
              <w:rPr>
                <w:rFonts w:hint="eastAsia" w:ascii="Times New Roman" w:hAnsi="Times New Roman"/>
                <w:color w:val="auto"/>
              </w:rPr>
              <w:t>类红线区，</w:t>
            </w:r>
            <w:r>
              <w:rPr>
                <w:rFonts w:ascii="Times New Roman" w:hAnsi="Times New Roman"/>
                <w:color w:val="auto"/>
              </w:rPr>
              <w:t>线路</w:t>
            </w:r>
            <w:r>
              <w:rPr>
                <w:rFonts w:hint="eastAsia" w:ascii="Times New Roman" w:hAnsi="Times New Roman"/>
                <w:color w:val="auto"/>
                <w:lang w:eastAsia="zh-CN"/>
              </w:rPr>
              <w:t>穿</w:t>
            </w:r>
            <w:r>
              <w:rPr>
                <w:rFonts w:ascii="Times New Roman" w:hAnsi="Times New Roman"/>
                <w:color w:val="auto"/>
              </w:rPr>
              <w:t>越长度约</w:t>
            </w:r>
            <w:r>
              <w:rPr>
                <w:rFonts w:hint="eastAsia" w:ascii="Times New Roman" w:hAnsi="Times New Roman"/>
                <w:color w:val="auto"/>
                <w:lang w:val="en-US" w:eastAsia="zh-CN"/>
              </w:rPr>
              <w:t>3.6</w:t>
            </w:r>
            <w:r>
              <w:rPr>
                <w:rFonts w:ascii="Times New Roman" w:hAnsi="Times New Roman"/>
                <w:color w:val="auto"/>
              </w:rPr>
              <w:t>km</w:t>
            </w:r>
            <w:r>
              <w:rPr>
                <w:rFonts w:hint="eastAsia" w:ascii="Times New Roman" w:hAnsi="Times New Roman"/>
                <w:color w:val="auto"/>
              </w:rPr>
              <w:t>，</w:t>
            </w:r>
            <w:r>
              <w:rPr>
                <w:rFonts w:hint="eastAsia" w:ascii="Times New Roman" w:hAnsi="Times New Roman"/>
                <w:color w:val="auto"/>
                <w:lang w:eastAsia="zh-CN"/>
              </w:rPr>
              <w:t>拟</w:t>
            </w:r>
            <w:r>
              <w:rPr>
                <w:rFonts w:hint="eastAsia" w:ascii="Times New Roman" w:hAnsi="Times New Roman"/>
                <w:color w:val="auto"/>
              </w:rPr>
              <w:t>立塔</w:t>
            </w:r>
            <w:r>
              <w:rPr>
                <w:rFonts w:hint="eastAsia" w:ascii="Times New Roman" w:hAnsi="Times New Roman"/>
                <w:color w:val="auto"/>
                <w:lang w:val="en-US" w:eastAsia="zh-CN"/>
              </w:rPr>
              <w:t>10</w:t>
            </w:r>
            <w:r>
              <w:rPr>
                <w:rFonts w:hint="eastAsia" w:ascii="Times New Roman" w:hAnsi="Times New Roman"/>
                <w:color w:val="auto"/>
              </w:rPr>
              <w:t>基。本工程</w:t>
            </w:r>
            <w:r>
              <w:rPr>
                <w:rFonts w:ascii="Times New Roman" w:hAnsi="Times New Roman"/>
                <w:color w:val="auto"/>
              </w:rPr>
              <w:t>对生态保护红线区的扰动为点状分布</w:t>
            </w:r>
            <w:r>
              <w:rPr>
                <w:rFonts w:hint="eastAsia" w:ascii="Times New Roman" w:hAnsi="Times New Roman"/>
                <w:color w:val="auto"/>
              </w:rPr>
              <w:t>。</w:t>
            </w:r>
          </w:p>
          <w:p>
            <w:pPr>
              <w:spacing w:line="360" w:lineRule="auto"/>
              <w:ind w:firstLine="420"/>
              <w:rPr>
                <w:rFonts w:hint="eastAsia" w:ascii="Times New Roman" w:hAnsi="Times New Roman"/>
                <w:color w:val="auto"/>
                <w:szCs w:val="20"/>
              </w:rPr>
            </w:pPr>
            <w:r>
              <w:rPr>
                <w:rFonts w:ascii="Times New Roman" w:hAnsi="Times New Roman"/>
                <w:color w:val="auto"/>
                <w:szCs w:val="20"/>
              </w:rPr>
              <w:t>根据《海南省人民政府关于划定海南省生态保护红线的通告》（琼府</w:t>
            </w:r>
            <w:r>
              <w:rPr>
                <w:rFonts w:hint="eastAsia" w:ascii="Times New Roman" w:cs="Times New Roman"/>
                <w:color w:val="auto"/>
                <w:sz w:val="21"/>
                <w:szCs w:val="21"/>
                <w:lang w:val="en-US" w:eastAsia="zh-CN"/>
              </w:rPr>
              <w:t>[</w:t>
            </w:r>
            <w:r>
              <w:rPr>
                <w:rFonts w:hint="eastAsia" w:ascii="Times New Roman" w:hAnsi="Times New Roman" w:cs="Times New Roman"/>
                <w:color w:val="auto"/>
                <w:sz w:val="21"/>
                <w:szCs w:val="21"/>
                <w:lang w:eastAsia="zh-CN"/>
              </w:rPr>
              <w:t>2016</w:t>
            </w:r>
            <w:r>
              <w:rPr>
                <w:rFonts w:hint="eastAsia" w:ascii="Times New Roman" w:cs="Times New Roman"/>
                <w:color w:val="auto"/>
                <w:sz w:val="21"/>
                <w:szCs w:val="21"/>
                <w:lang w:val="en-US" w:eastAsia="zh-CN"/>
              </w:rPr>
              <w:t>]</w:t>
            </w:r>
            <w:r>
              <w:rPr>
                <w:rFonts w:ascii="Times New Roman" w:hAnsi="Times New Roman"/>
                <w:color w:val="auto"/>
                <w:szCs w:val="20"/>
              </w:rPr>
              <w:t>90号）及《海南省陆域生态保护红线区开发建设管理目录》（琼府办</w:t>
            </w:r>
            <w:r>
              <w:rPr>
                <w:rFonts w:hint="eastAsia" w:ascii="Times New Roman" w:cs="Times New Roman"/>
                <w:color w:val="auto"/>
                <w:sz w:val="21"/>
                <w:szCs w:val="21"/>
                <w:lang w:val="en-US" w:eastAsia="zh-CN"/>
              </w:rPr>
              <w:t>[</w:t>
            </w:r>
            <w:r>
              <w:rPr>
                <w:rFonts w:hint="eastAsia" w:ascii="Times New Roman" w:hAnsi="Times New Roman" w:cs="Times New Roman"/>
                <w:color w:val="auto"/>
                <w:sz w:val="21"/>
                <w:szCs w:val="21"/>
                <w:lang w:eastAsia="zh-CN"/>
              </w:rPr>
              <w:t>2016</w:t>
            </w:r>
            <w:r>
              <w:rPr>
                <w:rFonts w:hint="eastAsia" w:ascii="Times New Roman" w:cs="Times New Roman"/>
                <w:color w:val="auto"/>
                <w:sz w:val="21"/>
                <w:szCs w:val="21"/>
                <w:lang w:val="en-US" w:eastAsia="zh-CN"/>
              </w:rPr>
              <w:t>]</w:t>
            </w:r>
            <w:r>
              <w:rPr>
                <w:rFonts w:ascii="Times New Roman" w:hAnsi="Times New Roman"/>
                <w:color w:val="auto"/>
                <w:szCs w:val="20"/>
              </w:rPr>
              <w:t>239号）规定，本工程建设属于海南省陆域I类和</w:t>
            </w:r>
            <w:r>
              <w:rPr>
                <w:rFonts w:hint="eastAsia" w:ascii="宋体" w:hAnsi="宋体" w:cs="宋体"/>
                <w:color w:val="auto"/>
                <w:szCs w:val="20"/>
              </w:rPr>
              <w:t>Ⅱ</w:t>
            </w:r>
            <w:r>
              <w:rPr>
                <w:rFonts w:ascii="Times New Roman" w:hAnsi="Times New Roman"/>
                <w:color w:val="auto"/>
                <w:szCs w:val="20"/>
              </w:rPr>
              <w:t>类生态保护红线区保护与开发建设准入目录清单中的基础设施电网类项目，满足准入要求。</w:t>
            </w:r>
          </w:p>
          <w:p>
            <w:pPr>
              <w:spacing w:line="360" w:lineRule="auto"/>
              <w:ind w:firstLine="420"/>
              <w:rPr>
                <w:rFonts w:ascii="Times New Roman" w:hAnsi="Times New Roman"/>
                <w:color w:val="auto"/>
                <w:szCs w:val="20"/>
              </w:rPr>
            </w:pPr>
            <w:r>
              <w:rPr>
                <w:rFonts w:hint="eastAsia" w:ascii="Times New Roman" w:hAnsi="Times New Roman"/>
                <w:color w:val="auto"/>
                <w:szCs w:val="20"/>
                <w:lang w:eastAsia="zh-CN"/>
              </w:rPr>
              <w:t>此外，经</w:t>
            </w:r>
            <w:r>
              <w:rPr>
                <w:rFonts w:hint="eastAsia" w:ascii="Times New Roman" w:hAnsi="Times New Roman"/>
                <w:color w:val="auto"/>
                <w:szCs w:val="20"/>
                <w:lang w:val="en-US" w:eastAsia="zh-CN"/>
              </w:rPr>
              <w:t>现场调查，</w:t>
            </w:r>
            <w:r>
              <w:rPr>
                <w:rFonts w:hint="eastAsia" w:ascii="Times New Roman" w:hAnsi="Times New Roman"/>
                <w:color w:val="auto"/>
                <w:szCs w:val="20"/>
                <w:lang w:eastAsia="zh-CN"/>
              </w:rPr>
              <w:t>本工程</w:t>
            </w:r>
            <w:r>
              <w:rPr>
                <w:rFonts w:ascii="Times New Roman" w:hAnsi="Times New Roman"/>
                <w:color w:val="auto"/>
                <w:szCs w:val="20"/>
              </w:rPr>
              <w:t>线路</w:t>
            </w:r>
            <w:r>
              <w:rPr>
                <w:rFonts w:hint="eastAsia" w:ascii="Times New Roman" w:hAnsi="Times New Roman"/>
                <w:color w:val="auto"/>
                <w:szCs w:val="20"/>
                <w:lang w:eastAsia="zh-CN"/>
              </w:rPr>
              <w:t>路径途经</w:t>
            </w:r>
            <w:r>
              <w:rPr>
                <w:rFonts w:hint="eastAsia" w:ascii="Times New Roman" w:hAnsi="Times New Roman"/>
                <w:color w:val="auto"/>
                <w:szCs w:val="20"/>
              </w:rPr>
              <w:t>海口市琼山区云龙镇长</w:t>
            </w:r>
            <w:r>
              <w:rPr>
                <w:rFonts w:hint="eastAsia" w:ascii="Times New Roman" w:hAnsi="Times New Roman"/>
                <w:color w:val="auto"/>
                <w:szCs w:val="20"/>
                <w:lang w:eastAsia="zh-CN"/>
              </w:rPr>
              <w:t>太</w:t>
            </w:r>
            <w:r>
              <w:rPr>
                <w:rFonts w:hint="eastAsia" w:ascii="Times New Roman" w:hAnsi="Times New Roman"/>
                <w:color w:val="auto"/>
                <w:szCs w:val="20"/>
              </w:rPr>
              <w:t>村有</w:t>
            </w:r>
            <w:r>
              <w:rPr>
                <w:rFonts w:hint="eastAsia" w:ascii="Times New Roman" w:hAnsi="Times New Roman"/>
                <w:color w:val="auto"/>
                <w:szCs w:val="20"/>
                <w:lang w:eastAsia="zh-CN"/>
              </w:rPr>
              <w:t>冯白驹将军故居</w:t>
            </w:r>
            <w:r>
              <w:rPr>
                <w:rFonts w:hint="eastAsia" w:ascii="Times New Roman" w:hAnsi="Times New Roman"/>
                <w:color w:val="auto"/>
                <w:szCs w:val="20"/>
              </w:rPr>
              <w:t>，其</w:t>
            </w:r>
            <w:r>
              <w:rPr>
                <w:rFonts w:hint="eastAsia" w:ascii="Times New Roman" w:hAnsi="Times New Roman"/>
                <w:color w:val="auto"/>
                <w:szCs w:val="20"/>
                <w:lang w:eastAsia="zh-CN"/>
              </w:rPr>
              <w:t>南</w:t>
            </w:r>
            <w:r>
              <w:rPr>
                <w:rFonts w:hint="eastAsia" w:ascii="Times New Roman" w:hAnsi="Times New Roman"/>
                <w:color w:val="auto"/>
                <w:szCs w:val="20"/>
              </w:rPr>
              <w:t>侧边界</w:t>
            </w:r>
            <w:r>
              <w:rPr>
                <w:rFonts w:ascii="Times New Roman" w:hAnsi="Times New Roman"/>
                <w:color w:val="auto"/>
                <w:szCs w:val="20"/>
              </w:rPr>
              <w:t>距离输电线路</w:t>
            </w:r>
            <w:r>
              <w:rPr>
                <w:rFonts w:hint="eastAsia" w:ascii="Times New Roman" w:hAnsi="Times New Roman"/>
                <w:color w:val="auto"/>
                <w:szCs w:val="20"/>
                <w:lang w:eastAsia="zh-CN"/>
              </w:rPr>
              <w:t>北侧最近约</w:t>
            </w:r>
            <w:r>
              <w:rPr>
                <w:rFonts w:hint="eastAsia" w:ascii="Times New Roman" w:hAnsi="Times New Roman"/>
                <w:color w:val="auto"/>
                <w:szCs w:val="20"/>
                <w:lang w:val="en-US" w:eastAsia="zh-CN"/>
              </w:rPr>
              <w:t>450</w:t>
            </w:r>
            <w:r>
              <w:rPr>
                <w:rFonts w:ascii="Times New Roman" w:hAnsi="Times New Roman"/>
                <w:color w:val="auto"/>
                <w:szCs w:val="20"/>
              </w:rPr>
              <w:t>m，</w:t>
            </w:r>
            <w:r>
              <w:rPr>
                <w:rFonts w:hint="eastAsia" w:ascii="Times New Roman" w:hAnsi="Times New Roman"/>
                <w:color w:val="auto"/>
                <w:szCs w:val="20"/>
              </w:rPr>
              <w:t>距输电线路</w:t>
            </w:r>
            <w:r>
              <w:rPr>
                <w:rFonts w:hint="eastAsia" w:ascii="Times New Roman" w:hAnsi="Times New Roman"/>
                <w:color w:val="auto"/>
                <w:szCs w:val="20"/>
                <w:lang w:eastAsia="zh-CN"/>
              </w:rPr>
              <w:t>西侧最近</w:t>
            </w:r>
            <w:r>
              <w:rPr>
                <w:rFonts w:hint="eastAsia" w:ascii="Times New Roman" w:hAnsi="Times New Roman"/>
                <w:color w:val="auto"/>
                <w:szCs w:val="20"/>
              </w:rPr>
              <w:t>约</w:t>
            </w:r>
            <w:r>
              <w:rPr>
                <w:rFonts w:hint="eastAsia" w:ascii="Times New Roman" w:hAnsi="Times New Roman"/>
                <w:color w:val="auto"/>
                <w:szCs w:val="20"/>
                <w:lang w:val="en-US" w:eastAsia="zh-CN"/>
              </w:rPr>
              <w:t>650</w:t>
            </w:r>
            <w:r>
              <w:rPr>
                <w:rFonts w:hint="eastAsia" w:ascii="Times New Roman" w:hAnsi="Times New Roman"/>
                <w:color w:val="auto"/>
                <w:szCs w:val="20"/>
              </w:rPr>
              <w:t>m，为海南</w:t>
            </w:r>
            <w:r>
              <w:rPr>
                <w:rFonts w:hint="default" w:ascii="Times New Roman" w:hAnsi="Times New Roman"/>
                <w:color w:val="auto"/>
                <w:szCs w:val="20"/>
              </w:rPr>
              <w:t>省级文物保护单位、海南省爱国主义教育基地。</w:t>
            </w:r>
            <w:r>
              <w:rPr>
                <w:rFonts w:hint="eastAsia" w:ascii="Times New Roman" w:hAnsi="Times New Roman"/>
                <w:color w:val="auto"/>
              </w:rPr>
              <w:t>工程实际扰动区为点状分布，</w:t>
            </w:r>
            <w:r>
              <w:rPr>
                <w:rFonts w:ascii="Times New Roman" w:hAnsi="Times New Roman"/>
                <w:color w:val="auto"/>
                <w:szCs w:val="20"/>
              </w:rPr>
              <w:t>不会对</w:t>
            </w:r>
            <w:r>
              <w:rPr>
                <w:rFonts w:hint="eastAsia" w:ascii="Times New Roman" w:hAnsi="Times New Roman"/>
                <w:color w:val="auto"/>
                <w:szCs w:val="20"/>
              </w:rPr>
              <w:t>该</w:t>
            </w:r>
            <w:r>
              <w:rPr>
                <w:rFonts w:hint="eastAsia" w:ascii="Times New Roman" w:hAnsi="Times New Roman"/>
                <w:color w:val="auto"/>
                <w:szCs w:val="20"/>
                <w:lang w:eastAsia="zh-CN"/>
              </w:rPr>
              <w:t>处故居</w:t>
            </w:r>
            <w:r>
              <w:rPr>
                <w:rFonts w:ascii="Times New Roman" w:hAnsi="Times New Roman"/>
                <w:color w:val="auto"/>
                <w:szCs w:val="20"/>
              </w:rPr>
              <w:t>构成影响。</w:t>
            </w:r>
          </w:p>
          <w:p>
            <w:pPr>
              <w:pStyle w:val="23"/>
              <w:spacing w:line="360" w:lineRule="auto"/>
              <w:ind w:firstLine="482"/>
              <w:rPr>
                <w:rFonts w:hint="eastAsia" w:ascii="Times New Roman"/>
                <w:b/>
                <w:color w:val="auto"/>
                <w:szCs w:val="21"/>
              </w:rPr>
            </w:pPr>
            <w:r>
              <w:rPr>
                <w:rFonts w:ascii="Times New Roman"/>
                <w:b/>
                <w:color w:val="auto"/>
                <w:szCs w:val="21"/>
              </w:rPr>
              <w:t>本工程评价范围内无自然保护区、风景名胜区、森林公园等需要特殊保护的敏感目标</w:t>
            </w:r>
            <w:r>
              <w:rPr>
                <w:rFonts w:hint="eastAsia" w:ascii="Times New Roman"/>
                <w:b/>
                <w:color w:val="auto"/>
                <w:szCs w:val="21"/>
              </w:rPr>
              <w:t>。</w:t>
            </w:r>
          </w:p>
          <w:tbl>
            <w:tblPr>
              <w:tblStyle w:val="50"/>
              <w:tblW w:w="8562" w:type="dxa"/>
              <w:tblInd w:w="0" w:type="dxa"/>
              <w:tblLayout w:type="fixed"/>
              <w:tblCellMar>
                <w:top w:w="0" w:type="dxa"/>
                <w:left w:w="108" w:type="dxa"/>
                <w:bottom w:w="0" w:type="dxa"/>
                <w:right w:w="108" w:type="dxa"/>
              </w:tblCellMar>
            </w:tblPr>
            <w:tblGrid>
              <w:gridCol w:w="4296"/>
              <w:gridCol w:w="4266"/>
            </w:tblGrid>
            <w:tr>
              <w:tblPrEx>
                <w:tblLayout w:type="fixed"/>
                <w:tblCellMar>
                  <w:top w:w="0" w:type="dxa"/>
                  <w:left w:w="108" w:type="dxa"/>
                  <w:bottom w:w="0" w:type="dxa"/>
                  <w:right w:w="108" w:type="dxa"/>
                </w:tblCellMar>
              </w:tblPrEx>
              <w:trPr>
                <w:trHeight w:val="3499" w:hRule="atLeast"/>
              </w:trPr>
              <w:tc>
                <w:tcPr>
                  <w:tcW w:w="4296" w:type="dxa"/>
                  <w:vAlign w:val="center"/>
                </w:tcPr>
                <w:p>
                  <w:pPr>
                    <w:spacing w:line="360" w:lineRule="auto"/>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2560320" cy="1920240"/>
                        <wp:effectExtent l="0" t="0" r="11430" b="3810"/>
                        <wp:docPr id="24" name="图片 40" descr="IMG_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0" descr="IMG_9004"/>
                                <pic:cNvPicPr>
                                  <a:picLocks noChangeAspect="1"/>
                                </pic:cNvPicPr>
                              </pic:nvPicPr>
                              <pic:blipFill>
                                <a:blip r:embed="rId17"/>
                                <a:stretch>
                                  <a:fillRect/>
                                </a:stretch>
                              </pic:blipFill>
                              <pic:spPr>
                                <a:xfrm>
                                  <a:off x="0" y="0"/>
                                  <a:ext cx="2560320" cy="1920240"/>
                                </a:xfrm>
                                <a:prstGeom prst="rect">
                                  <a:avLst/>
                                </a:prstGeom>
                                <a:noFill/>
                                <a:ln>
                                  <a:noFill/>
                                </a:ln>
                              </pic:spPr>
                            </pic:pic>
                          </a:graphicData>
                        </a:graphic>
                      </wp:inline>
                    </w:drawing>
                  </w:r>
                </w:p>
                <w:p>
                  <w:pPr>
                    <w:spacing w:line="360" w:lineRule="auto"/>
                    <w:jc w:val="center"/>
                    <w:rPr>
                      <w:rFonts w:ascii="Times New Roman" w:hAnsi="Times New Roman"/>
                      <w:color w:val="auto"/>
                    </w:rPr>
                  </w:pPr>
                  <w:r>
                    <w:rPr>
                      <w:rFonts w:ascii="Times New Roman"/>
                      <w:color w:val="auto"/>
                    </w:rPr>
                    <w:t>线路沿线环境现状</w:t>
                  </w:r>
                  <w:r>
                    <w:rPr>
                      <w:rFonts w:hint="eastAsia" w:ascii="Times New Roman" w:hAnsi="Times New Roman"/>
                      <w:color w:val="auto"/>
                    </w:rPr>
                    <w:t>1</w:t>
                  </w:r>
                </w:p>
              </w:tc>
              <w:tc>
                <w:tcPr>
                  <w:tcW w:w="4266" w:type="dxa"/>
                  <w:vAlign w:val="center"/>
                </w:tcPr>
                <w:p>
                  <w:pPr>
                    <w:spacing w:line="360" w:lineRule="auto"/>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2560320" cy="1920240"/>
                        <wp:effectExtent l="0" t="0" r="11430" b="3810"/>
                        <wp:docPr id="25" name="图片 41" descr="IMG_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1" descr="IMG_8997"/>
                                <pic:cNvPicPr>
                                  <a:picLocks noChangeAspect="1"/>
                                </pic:cNvPicPr>
                              </pic:nvPicPr>
                              <pic:blipFill>
                                <a:blip r:embed="rId18"/>
                                <a:stretch>
                                  <a:fillRect/>
                                </a:stretch>
                              </pic:blipFill>
                              <pic:spPr>
                                <a:xfrm>
                                  <a:off x="0" y="0"/>
                                  <a:ext cx="2560320" cy="1920240"/>
                                </a:xfrm>
                                <a:prstGeom prst="rect">
                                  <a:avLst/>
                                </a:prstGeom>
                                <a:noFill/>
                                <a:ln>
                                  <a:noFill/>
                                </a:ln>
                              </pic:spPr>
                            </pic:pic>
                          </a:graphicData>
                        </a:graphic>
                      </wp:inline>
                    </w:drawing>
                  </w:r>
                </w:p>
                <w:p>
                  <w:pPr>
                    <w:spacing w:line="360" w:lineRule="auto"/>
                    <w:jc w:val="center"/>
                    <w:rPr>
                      <w:rFonts w:ascii="Times New Roman" w:hAnsi="Times New Roman"/>
                      <w:color w:val="auto"/>
                    </w:rPr>
                  </w:pPr>
                  <w:r>
                    <w:rPr>
                      <w:rFonts w:ascii="Times New Roman"/>
                      <w:color w:val="auto"/>
                    </w:rPr>
                    <w:t>线路沿线环境现状</w:t>
                  </w:r>
                  <w:r>
                    <w:rPr>
                      <w:rFonts w:hint="eastAsia" w:ascii="Times New Roman" w:hAnsi="Times New Roman"/>
                      <w:color w:val="auto"/>
                    </w:rPr>
                    <w:t>2</w:t>
                  </w:r>
                </w:p>
              </w:tc>
            </w:tr>
            <w:tr>
              <w:tblPrEx>
                <w:tblLayout w:type="fixed"/>
                <w:tblCellMar>
                  <w:top w:w="0" w:type="dxa"/>
                  <w:left w:w="108" w:type="dxa"/>
                  <w:bottom w:w="0" w:type="dxa"/>
                  <w:right w:w="108" w:type="dxa"/>
                </w:tblCellMar>
              </w:tblPrEx>
              <w:trPr>
                <w:trHeight w:val="3499" w:hRule="atLeast"/>
              </w:trPr>
              <w:tc>
                <w:tcPr>
                  <w:tcW w:w="4296" w:type="dxa"/>
                  <w:vAlign w:val="center"/>
                </w:tcPr>
                <w:p>
                  <w:pPr>
                    <w:spacing w:line="360" w:lineRule="auto"/>
                    <w:jc w:val="center"/>
                    <w:rPr>
                      <w:rFonts w:hint="eastAsia" w:ascii="Times New Roman" w:eastAsia="宋体"/>
                      <w:color w:val="auto"/>
                      <w:lang w:eastAsia="zh-CN"/>
                    </w:rPr>
                  </w:pPr>
                  <w:r>
                    <w:rPr>
                      <w:rFonts w:hint="eastAsia" w:ascii="Times New Roman" w:eastAsia="宋体"/>
                      <w:color w:val="auto"/>
                      <w:lang w:eastAsia="zh-CN"/>
                    </w:rPr>
                    <w:drawing>
                      <wp:inline distT="0" distB="0" distL="114300" distR="114300">
                        <wp:extent cx="2618740" cy="1863090"/>
                        <wp:effectExtent l="0" t="0" r="10160" b="3810"/>
                        <wp:docPr id="26" name="图片 42" descr="IMG_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2" descr="IMG_8964"/>
                                <pic:cNvPicPr>
                                  <a:picLocks noChangeAspect="1"/>
                                </pic:cNvPicPr>
                              </pic:nvPicPr>
                              <pic:blipFill>
                                <a:blip r:embed="rId19"/>
                                <a:srcRect/>
                                <a:stretch>
                                  <a:fillRect/>
                                </a:stretch>
                              </pic:blipFill>
                              <pic:spPr>
                                <a:xfrm>
                                  <a:off x="0" y="0"/>
                                  <a:ext cx="2618740" cy="1863090"/>
                                </a:xfrm>
                                <a:prstGeom prst="rect">
                                  <a:avLst/>
                                </a:prstGeom>
                                <a:noFill/>
                                <a:ln>
                                  <a:noFill/>
                                </a:ln>
                              </pic:spPr>
                            </pic:pic>
                          </a:graphicData>
                        </a:graphic>
                      </wp:inline>
                    </w:drawing>
                  </w:r>
                </w:p>
                <w:p>
                  <w:pPr>
                    <w:spacing w:line="360" w:lineRule="auto"/>
                    <w:jc w:val="center"/>
                    <w:rPr>
                      <w:rFonts w:hint="eastAsia" w:ascii="Times New Roman" w:eastAsia="宋体"/>
                      <w:color w:val="auto"/>
                      <w:lang w:eastAsia="zh-CN"/>
                    </w:rPr>
                  </w:pPr>
                  <w:r>
                    <w:rPr>
                      <w:rFonts w:ascii="Times New Roman"/>
                      <w:color w:val="auto"/>
                    </w:rPr>
                    <w:t>线路</w:t>
                  </w:r>
                  <w:r>
                    <w:rPr>
                      <w:rFonts w:hint="eastAsia" w:ascii="Times New Roman"/>
                      <w:color w:val="auto"/>
                      <w:lang w:eastAsia="zh-CN"/>
                    </w:rPr>
                    <w:t>跨越南渡江龙塘饮用水水源保护区</w:t>
                  </w:r>
                </w:p>
              </w:tc>
              <w:tc>
                <w:tcPr>
                  <w:tcW w:w="4266" w:type="dxa"/>
                  <w:vAlign w:val="center"/>
                </w:tcPr>
                <w:p>
                  <w:pPr>
                    <w:spacing w:line="360" w:lineRule="auto"/>
                    <w:jc w:val="center"/>
                    <w:rPr>
                      <w:rFonts w:ascii="Times New Roman"/>
                      <w:color w:val="auto"/>
                    </w:rPr>
                  </w:pPr>
                  <w:r>
                    <w:rPr>
                      <w:rFonts w:ascii="Times New Roman"/>
                      <w:color w:val="auto"/>
                    </w:rPr>
                    <w:drawing>
                      <wp:inline distT="0" distB="0" distL="114300" distR="114300">
                        <wp:extent cx="2509520" cy="1882775"/>
                        <wp:effectExtent l="0" t="0" r="5080" b="3175"/>
                        <wp:docPr id="27" name="图片 47" descr="IMG_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7" descr="IMG_8965"/>
                                <pic:cNvPicPr>
                                  <a:picLocks noChangeAspect="1"/>
                                </pic:cNvPicPr>
                              </pic:nvPicPr>
                              <pic:blipFill>
                                <a:blip r:embed="rId20"/>
                                <a:stretch>
                                  <a:fillRect/>
                                </a:stretch>
                              </pic:blipFill>
                              <pic:spPr>
                                <a:xfrm>
                                  <a:off x="0" y="0"/>
                                  <a:ext cx="2509520" cy="1882775"/>
                                </a:xfrm>
                                <a:prstGeom prst="rect">
                                  <a:avLst/>
                                </a:prstGeom>
                                <a:noFill/>
                                <a:ln>
                                  <a:noFill/>
                                </a:ln>
                              </pic:spPr>
                            </pic:pic>
                          </a:graphicData>
                        </a:graphic>
                      </wp:inline>
                    </w:drawing>
                  </w:r>
                  <w:r>
                    <w:rPr>
                      <w:rFonts w:ascii="Times New Roman"/>
                      <w:color w:val="auto"/>
                    </w:rPr>
                    <w:t>线路</w:t>
                  </w:r>
                  <w:r>
                    <w:rPr>
                      <w:rFonts w:hint="eastAsia" w:ascii="Times New Roman"/>
                      <w:color w:val="auto"/>
                      <w:lang w:eastAsia="zh-CN"/>
                    </w:rPr>
                    <w:t>跨越吴仲田水库</w:t>
                  </w:r>
                </w:p>
              </w:tc>
            </w:tr>
            <w:tr>
              <w:tblPrEx>
                <w:tblLayout w:type="fixed"/>
                <w:tblCellMar>
                  <w:top w:w="0" w:type="dxa"/>
                  <w:left w:w="108" w:type="dxa"/>
                  <w:bottom w:w="0" w:type="dxa"/>
                  <w:right w:w="108" w:type="dxa"/>
                </w:tblCellMar>
              </w:tblPrEx>
              <w:trPr>
                <w:trHeight w:val="3499" w:hRule="atLeast"/>
              </w:trPr>
              <w:tc>
                <w:tcPr>
                  <w:tcW w:w="4296" w:type="dxa"/>
                  <w:vAlign w:val="center"/>
                </w:tcPr>
                <w:p>
                  <w:pPr>
                    <w:spacing w:line="360" w:lineRule="auto"/>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2560320" cy="1920240"/>
                        <wp:effectExtent l="0" t="0" r="11430" b="3810"/>
                        <wp:docPr id="28" name="图片 43" descr="IMG_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3" descr="IMG_9017"/>
                                <pic:cNvPicPr>
                                  <a:picLocks noChangeAspect="1"/>
                                </pic:cNvPicPr>
                              </pic:nvPicPr>
                              <pic:blipFill>
                                <a:blip r:embed="rId21"/>
                                <a:stretch>
                                  <a:fillRect/>
                                </a:stretch>
                              </pic:blipFill>
                              <pic:spPr>
                                <a:xfrm>
                                  <a:off x="0" y="0"/>
                                  <a:ext cx="2560320" cy="1920240"/>
                                </a:xfrm>
                                <a:prstGeom prst="rect">
                                  <a:avLst/>
                                </a:prstGeom>
                                <a:noFill/>
                                <a:ln>
                                  <a:noFill/>
                                </a:ln>
                              </pic:spPr>
                            </pic:pic>
                          </a:graphicData>
                        </a:graphic>
                      </wp:inline>
                    </w:drawing>
                  </w:r>
                </w:p>
              </w:tc>
              <w:tc>
                <w:tcPr>
                  <w:tcW w:w="4266" w:type="dxa"/>
                  <w:vAlign w:val="center"/>
                </w:tcPr>
                <w:p>
                  <w:pPr>
                    <w:spacing w:line="360" w:lineRule="auto"/>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2560320" cy="1920240"/>
                        <wp:effectExtent l="0" t="0" r="11430" b="3810"/>
                        <wp:docPr id="29" name="图片 44" descr="IMG_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4" descr="IMG_8952"/>
                                <pic:cNvPicPr>
                                  <a:picLocks noChangeAspect="1"/>
                                </pic:cNvPicPr>
                              </pic:nvPicPr>
                              <pic:blipFill>
                                <a:blip r:embed="rId22"/>
                                <a:stretch>
                                  <a:fillRect/>
                                </a:stretch>
                              </pic:blipFill>
                              <pic:spPr>
                                <a:xfrm>
                                  <a:off x="0" y="0"/>
                                  <a:ext cx="2560320" cy="192024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355" w:hRule="atLeast"/>
              </w:trPr>
              <w:tc>
                <w:tcPr>
                  <w:tcW w:w="4296" w:type="dxa"/>
                  <w:vAlign w:val="center"/>
                </w:tcPr>
                <w:p>
                  <w:pPr>
                    <w:jc w:val="center"/>
                    <w:rPr>
                      <w:rFonts w:ascii="Times New Roman" w:hAnsi="Times New Roman"/>
                      <w:color w:val="auto"/>
                    </w:rPr>
                  </w:pPr>
                  <w:r>
                    <w:rPr>
                      <w:rFonts w:ascii="Times New Roman" w:hAnsi="Times New Roman"/>
                      <w:color w:val="auto"/>
                    </w:rPr>
                    <w:t>线路</w:t>
                  </w:r>
                  <w:r>
                    <w:rPr>
                      <w:rFonts w:hint="eastAsia" w:ascii="Times New Roman" w:hAnsi="Times New Roman"/>
                      <w:color w:val="auto"/>
                      <w:lang w:eastAsia="zh-CN"/>
                    </w:rPr>
                    <w:t>穿越新旧沟乡村湿地公园</w:t>
                  </w:r>
                </w:p>
              </w:tc>
              <w:tc>
                <w:tcPr>
                  <w:tcW w:w="4266" w:type="dxa"/>
                  <w:vAlign w:val="center"/>
                </w:tcPr>
                <w:p>
                  <w:pPr>
                    <w:jc w:val="center"/>
                    <w:rPr>
                      <w:rFonts w:hint="eastAsia" w:ascii="Times New Roman" w:hAnsi="Times New Roman" w:eastAsia="宋体"/>
                      <w:color w:val="auto"/>
                      <w:lang w:eastAsia="zh-CN"/>
                    </w:rPr>
                  </w:pPr>
                  <w:r>
                    <w:rPr>
                      <w:rFonts w:ascii="Times New Roman" w:hAnsi="Times New Roman"/>
                      <w:color w:val="auto"/>
                    </w:rPr>
                    <w:t>线路</w:t>
                  </w:r>
                  <w:r>
                    <w:rPr>
                      <w:rFonts w:hint="eastAsia" w:ascii="Times New Roman" w:hAnsi="Times New Roman"/>
                      <w:color w:val="auto"/>
                      <w:lang w:eastAsia="zh-CN"/>
                    </w:rPr>
                    <w:t>穿</w:t>
                  </w:r>
                  <w:r>
                    <w:rPr>
                      <w:rFonts w:hint="eastAsia" w:ascii="Times New Roman" w:hAnsi="Times New Roman"/>
                      <w:color w:val="auto"/>
                    </w:rPr>
                    <w:t>越</w:t>
                  </w:r>
                  <w:r>
                    <w:rPr>
                      <w:rFonts w:hint="eastAsia" w:ascii="Times New Roman" w:hAnsi="Times New Roman"/>
                      <w:color w:val="auto"/>
                      <w:lang w:eastAsia="zh-CN"/>
                    </w:rPr>
                    <w:t>海口三十六曲溪省级湿地公园</w:t>
                  </w:r>
                </w:p>
              </w:tc>
            </w:tr>
            <w:tr>
              <w:tblPrEx>
                <w:tblLayout w:type="fixed"/>
                <w:tblCellMar>
                  <w:top w:w="0" w:type="dxa"/>
                  <w:left w:w="108" w:type="dxa"/>
                  <w:bottom w:w="0" w:type="dxa"/>
                  <w:right w:w="108" w:type="dxa"/>
                </w:tblCellMar>
              </w:tblPrEx>
              <w:trPr>
                <w:trHeight w:val="355" w:hRule="atLeast"/>
              </w:trPr>
              <w:tc>
                <w:tcPr>
                  <w:tcW w:w="8562" w:type="dxa"/>
                  <w:gridSpan w:val="2"/>
                  <w:vAlign w:val="center"/>
                </w:tcPr>
                <w:p>
                  <w:pPr>
                    <w:jc w:val="center"/>
                    <w:rPr>
                      <w:rFonts w:ascii="Times New Roman"/>
                      <w:color w:val="auto"/>
                    </w:rPr>
                  </w:pPr>
                  <w:r>
                    <w:rPr>
                      <w:rFonts w:ascii="Times New Roman"/>
                      <w:color w:val="auto"/>
                    </w:rPr>
                    <w:drawing>
                      <wp:inline distT="0" distB="0" distL="114300" distR="114300">
                        <wp:extent cx="2560320" cy="1920240"/>
                        <wp:effectExtent l="0" t="0" r="11430" b="3810"/>
                        <wp:docPr id="30" name="图片 46" descr="IMG_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6" descr="IMG_5127"/>
                                <pic:cNvPicPr>
                                  <a:picLocks noChangeAspect="1"/>
                                </pic:cNvPicPr>
                              </pic:nvPicPr>
                              <pic:blipFill>
                                <a:blip r:embed="rId23"/>
                                <a:stretch>
                                  <a:fillRect/>
                                </a:stretch>
                              </pic:blipFill>
                              <pic:spPr>
                                <a:xfrm>
                                  <a:off x="0" y="0"/>
                                  <a:ext cx="2560320" cy="1920240"/>
                                </a:xfrm>
                                <a:prstGeom prst="rect">
                                  <a:avLst/>
                                </a:prstGeom>
                                <a:noFill/>
                                <a:ln>
                                  <a:noFill/>
                                </a:ln>
                              </pic:spPr>
                            </pic:pic>
                          </a:graphicData>
                        </a:graphic>
                      </wp:inline>
                    </w:drawing>
                  </w:r>
                </w:p>
                <w:p>
                  <w:pPr>
                    <w:jc w:val="center"/>
                    <w:rPr>
                      <w:rFonts w:hint="eastAsia" w:ascii="Times New Roman" w:eastAsia="宋体"/>
                      <w:color w:val="auto"/>
                      <w:lang w:eastAsia="zh-CN"/>
                    </w:rPr>
                  </w:pPr>
                  <w:r>
                    <w:rPr>
                      <w:rFonts w:hint="eastAsia" w:ascii="Times New Roman"/>
                      <w:color w:val="auto"/>
                      <w:lang w:eastAsia="zh-CN"/>
                    </w:rPr>
                    <w:t>冯白驹将军故居</w:t>
                  </w:r>
                </w:p>
              </w:tc>
            </w:tr>
          </w:tbl>
          <w:p>
            <w:pPr>
              <w:pStyle w:val="23"/>
              <w:spacing w:line="360" w:lineRule="auto"/>
              <w:ind w:firstLine="482"/>
              <w:rPr>
                <w:rFonts w:hint="eastAsia" w:ascii="Times New Roman"/>
                <w:b/>
                <w:color w:val="auto"/>
                <w:szCs w:val="21"/>
              </w:rPr>
            </w:pPr>
          </w:p>
          <w:p>
            <w:pPr>
              <w:spacing w:line="360" w:lineRule="auto"/>
              <w:ind w:firstLine="420" w:firstLineChars="200"/>
              <w:rPr>
                <w:rFonts w:ascii="Times New Roman" w:hAnsi="Times New Roman"/>
                <w:color w:val="auto"/>
              </w:rPr>
            </w:pPr>
          </w:p>
          <w:p>
            <w:pPr>
              <w:jc w:val="center"/>
              <w:rPr>
                <w:rFonts w:hint="eastAsia" w:ascii="Times New Roman" w:hAnsi="Times New Roman"/>
                <w:color w:val="auto"/>
                <w:kern w:val="0"/>
                <w:sz w:val="24"/>
                <w:szCs w:val="24"/>
              </w:rPr>
            </w:pPr>
          </w:p>
          <w:p>
            <w:pPr>
              <w:spacing w:line="360" w:lineRule="auto"/>
              <w:jc w:val="center"/>
              <w:rPr>
                <w:rFonts w:hint="eastAsia" w:ascii="Times New Roman" w:hAnsi="Times New Roman"/>
                <w:b/>
                <w:color w:val="auto"/>
              </w:rPr>
            </w:pPr>
          </w:p>
        </w:tc>
      </w:tr>
    </w:tbl>
    <w:p>
      <w:pPr>
        <w:rPr>
          <w:rFonts w:ascii="Times New Roman" w:hAnsi="Times New Roman"/>
          <w:color w:val="auto"/>
        </w:rPr>
      </w:pPr>
      <w:bookmarkStart w:id="14" w:name="ref_[3]_723160"/>
      <w:bookmarkEnd w:id="14"/>
      <w:bookmarkStart w:id="15" w:name="9_1"/>
      <w:bookmarkEnd w:id="15"/>
      <w:bookmarkStart w:id="16" w:name="ref_[20]_140181"/>
      <w:bookmarkEnd w:id="16"/>
      <w:bookmarkStart w:id="17" w:name="9_2"/>
      <w:bookmarkEnd w:id="17"/>
    </w:p>
    <w:p>
      <w:pPr>
        <w:pStyle w:val="6"/>
        <w:snapToGrid w:val="0"/>
        <w:spacing w:before="0" w:after="0" w:line="240" w:lineRule="auto"/>
        <w:contextualSpacing/>
        <w:rPr>
          <w:color w:val="auto"/>
          <w:sz w:val="28"/>
          <w:szCs w:val="28"/>
        </w:rPr>
      </w:pPr>
      <w:r>
        <w:rPr>
          <w:color w:val="auto"/>
        </w:rPr>
        <w:br w:type="page"/>
      </w:r>
      <w:bookmarkStart w:id="18" w:name="_Toc522457749"/>
      <w:bookmarkStart w:id="19" w:name="_Toc418358639"/>
      <w:r>
        <w:rPr>
          <w:color w:val="auto"/>
          <w:sz w:val="28"/>
          <w:szCs w:val="28"/>
        </w:rPr>
        <w:t>3环境质量现状</w:t>
      </w:r>
      <w:bookmarkEnd w:id="18"/>
      <w:bookmarkEnd w:id="19"/>
    </w:p>
    <w:tbl>
      <w:tblPr>
        <w:tblStyle w:val="50"/>
        <w:tblW w:w="8381" w:type="dxa"/>
        <w:tblInd w:w="0" w:type="dxa"/>
        <w:tblLayout w:type="fixed"/>
        <w:tblCellMar>
          <w:top w:w="0" w:type="dxa"/>
          <w:left w:w="108" w:type="dxa"/>
          <w:bottom w:w="0" w:type="dxa"/>
          <w:right w:w="108" w:type="dxa"/>
        </w:tblCellMar>
      </w:tblPr>
      <w:tblGrid>
        <w:gridCol w:w="8381"/>
      </w:tblGrid>
      <w:tr>
        <w:tblPrEx>
          <w:tblLayout w:type="fixed"/>
          <w:tblCellMar>
            <w:top w:w="0" w:type="dxa"/>
            <w:left w:w="108" w:type="dxa"/>
            <w:bottom w:w="0" w:type="dxa"/>
            <w:right w:w="108" w:type="dxa"/>
          </w:tblCellMar>
        </w:tblPrEx>
        <w:trPr>
          <w:trHeight w:val="13383" w:hRule="atLeast"/>
        </w:trPr>
        <w:tc>
          <w:tcPr>
            <w:tcW w:w="8381" w:type="dxa"/>
            <w:tcBorders>
              <w:top w:val="single" w:color="auto" w:sz="4" w:space="0"/>
              <w:left w:val="single" w:color="auto" w:sz="4" w:space="0"/>
              <w:bottom w:val="single" w:color="auto" w:sz="4" w:space="0"/>
              <w:right w:val="single" w:color="auto" w:sz="4" w:space="0"/>
            </w:tcBorders>
            <w:vAlign w:val="bottom"/>
          </w:tcPr>
          <w:p>
            <w:pPr>
              <w:pStyle w:val="73"/>
              <w:snapToGrid w:val="0"/>
              <w:spacing w:line="240" w:lineRule="auto"/>
              <w:ind w:firstLine="0"/>
              <w:contextualSpacing/>
              <w:outlineLvl w:val="1"/>
              <w:rPr>
                <w:rFonts w:ascii="Times New Roman"/>
                <w:b/>
                <w:bCs/>
                <w:color w:val="auto"/>
              </w:rPr>
            </w:pPr>
            <w:r>
              <w:rPr>
                <w:rFonts w:ascii="Times New Roman"/>
                <w:b/>
                <w:bCs/>
                <w:color w:val="auto"/>
              </w:rPr>
              <w:t>3.1建设项目所在地区域环境质量现状及主要环境问题（环境空气、地面水、地下水、声环境、辐射环境、生态环境）</w:t>
            </w:r>
          </w:p>
          <w:p>
            <w:pPr>
              <w:pStyle w:val="23"/>
              <w:snapToGrid w:val="0"/>
              <w:spacing w:before="156" w:beforeLines="50" w:line="360" w:lineRule="auto"/>
              <w:ind w:firstLine="420"/>
              <w:contextualSpacing/>
              <w:rPr>
                <w:rFonts w:ascii="Times New Roman"/>
                <w:color w:val="auto"/>
                <w:kern w:val="2"/>
                <w:sz w:val="21"/>
                <w:szCs w:val="21"/>
              </w:rPr>
            </w:pPr>
            <w:r>
              <w:rPr>
                <w:rFonts w:ascii="Times New Roman"/>
                <w:color w:val="auto"/>
                <w:kern w:val="2"/>
                <w:sz w:val="21"/>
                <w:szCs w:val="21"/>
              </w:rPr>
              <w:t>本项目为输变电工程，工程的主要环境问题为</w:t>
            </w:r>
            <w:r>
              <w:rPr>
                <w:rFonts w:hint="eastAsia" w:ascii="Times New Roman"/>
                <w:color w:val="auto"/>
                <w:kern w:val="2"/>
                <w:sz w:val="21"/>
                <w:szCs w:val="21"/>
              </w:rPr>
              <w:t>22</w:t>
            </w:r>
            <w:r>
              <w:rPr>
                <w:rFonts w:ascii="Times New Roman"/>
                <w:color w:val="auto"/>
                <w:kern w:val="2"/>
                <w:sz w:val="21"/>
                <w:szCs w:val="21"/>
              </w:rPr>
              <w:t>0kV</w:t>
            </w:r>
            <w:r>
              <w:rPr>
                <w:rFonts w:hint="eastAsia" w:ascii="Times New Roman"/>
                <w:color w:val="auto"/>
                <w:kern w:val="2"/>
                <w:sz w:val="21"/>
                <w:szCs w:val="21"/>
              </w:rPr>
              <w:t>架空送电线路运行时产生的工频电场、工频磁场及噪声。</w:t>
            </w:r>
          </w:p>
          <w:p>
            <w:pPr>
              <w:pStyle w:val="23"/>
              <w:snapToGrid w:val="0"/>
              <w:spacing w:line="360" w:lineRule="auto"/>
              <w:ind w:firstLine="420"/>
              <w:contextualSpacing/>
              <w:rPr>
                <w:rFonts w:hint="eastAsia" w:ascii="Times New Roman"/>
                <w:color w:val="auto"/>
                <w:kern w:val="2"/>
                <w:sz w:val="21"/>
                <w:szCs w:val="21"/>
              </w:rPr>
            </w:pPr>
            <w:r>
              <w:rPr>
                <w:rFonts w:ascii="Times New Roman"/>
                <w:color w:val="auto"/>
                <w:kern w:val="2"/>
                <w:sz w:val="21"/>
                <w:szCs w:val="21"/>
              </w:rPr>
              <w:t>为了解</w:t>
            </w:r>
            <w:r>
              <w:rPr>
                <w:rFonts w:hint="eastAsia" w:ascii="Times New Roman"/>
                <w:color w:val="auto"/>
                <w:kern w:val="2"/>
                <w:sz w:val="21"/>
                <w:szCs w:val="21"/>
                <w:lang w:eastAsia="zh-CN"/>
              </w:rPr>
              <w:t>输电</w:t>
            </w:r>
            <w:r>
              <w:rPr>
                <w:rFonts w:hint="eastAsia" w:ascii="Times New Roman"/>
                <w:color w:val="auto"/>
                <w:kern w:val="2"/>
                <w:sz w:val="21"/>
                <w:szCs w:val="21"/>
              </w:rPr>
              <w:t>线路</w:t>
            </w:r>
            <w:r>
              <w:rPr>
                <w:rFonts w:hint="eastAsia" w:ascii="Times New Roman"/>
                <w:color w:val="auto"/>
                <w:kern w:val="2"/>
                <w:sz w:val="21"/>
                <w:szCs w:val="21"/>
                <w:lang w:eastAsia="zh-CN"/>
              </w:rPr>
              <w:t>沿线</w:t>
            </w:r>
            <w:r>
              <w:rPr>
                <w:rFonts w:ascii="Times New Roman"/>
                <w:color w:val="auto"/>
                <w:kern w:val="2"/>
                <w:sz w:val="21"/>
                <w:szCs w:val="21"/>
              </w:rPr>
              <w:t>的电磁及噪声环境现状，我院委托</w:t>
            </w:r>
            <w:r>
              <w:rPr>
                <w:rFonts w:hint="eastAsia" w:ascii="Times New Roman"/>
                <w:color w:val="auto"/>
                <w:kern w:val="2"/>
                <w:sz w:val="21"/>
                <w:szCs w:val="21"/>
              </w:rPr>
              <w:t>海南瑞辐科技有限公司</w:t>
            </w:r>
            <w:r>
              <w:rPr>
                <w:rFonts w:ascii="Times New Roman"/>
                <w:color w:val="auto"/>
                <w:kern w:val="2"/>
                <w:sz w:val="21"/>
                <w:szCs w:val="21"/>
              </w:rPr>
              <w:t>（CMA证书号：</w:t>
            </w:r>
            <w:r>
              <w:rPr>
                <w:rFonts w:hint="eastAsia" w:ascii="Times New Roman"/>
                <w:color w:val="auto"/>
                <w:kern w:val="2"/>
                <w:sz w:val="21"/>
                <w:szCs w:val="21"/>
              </w:rPr>
              <w:t>17211205A017</w:t>
            </w:r>
            <w:r>
              <w:rPr>
                <w:rFonts w:ascii="Times New Roman"/>
                <w:color w:val="auto"/>
                <w:kern w:val="2"/>
                <w:sz w:val="21"/>
                <w:szCs w:val="21"/>
              </w:rPr>
              <w:t>）的检测人员对线路沿线的工频电场、工频磁场及噪声环境进行了现状监测</w:t>
            </w:r>
            <w:r>
              <w:rPr>
                <w:rFonts w:hint="eastAsia" w:ascii="Times New Roman"/>
                <w:color w:val="auto"/>
                <w:kern w:val="2"/>
                <w:sz w:val="21"/>
                <w:szCs w:val="21"/>
              </w:rPr>
              <w:t>。</w:t>
            </w:r>
          </w:p>
          <w:p>
            <w:pPr>
              <w:snapToGrid w:val="0"/>
              <w:spacing w:line="360" w:lineRule="auto"/>
              <w:ind w:firstLine="420" w:firstLineChars="200"/>
              <w:contextualSpacing/>
              <w:rPr>
                <w:rFonts w:ascii="Times New Roman" w:hAnsi="Times New Roman"/>
                <w:b/>
                <w:bCs/>
                <w:color w:val="auto"/>
              </w:rPr>
            </w:pPr>
            <w:r>
              <w:rPr>
                <w:rFonts w:ascii="Times New Roman" w:hAnsi="Times New Roman"/>
                <w:b/>
                <w:bCs/>
                <w:color w:val="auto"/>
              </w:rPr>
              <w:t>（1）监测内容、方法及仪器</w:t>
            </w:r>
          </w:p>
          <w:p>
            <w:pPr>
              <w:spacing w:line="360" w:lineRule="auto"/>
              <w:ind w:firstLine="417" w:firstLineChars="199"/>
              <w:rPr>
                <w:rFonts w:ascii="Times New Roman" w:hAnsi="Times New Roman"/>
                <w:color w:val="auto"/>
              </w:rPr>
            </w:pPr>
            <w:r>
              <w:rPr>
                <w:rFonts w:hint="eastAsia" w:ascii="Times New Roman" w:hAnsi="Times New Roman"/>
                <w:color w:val="auto"/>
              </w:rPr>
              <w:t>①</w:t>
            </w:r>
            <w:r>
              <w:rPr>
                <w:rFonts w:ascii="Times New Roman" w:hAnsi="Times New Roman"/>
                <w:color w:val="auto"/>
              </w:rPr>
              <w:t>监测项目</w:t>
            </w:r>
          </w:p>
          <w:p>
            <w:pPr>
              <w:spacing w:line="360" w:lineRule="auto"/>
              <w:ind w:firstLine="417" w:firstLineChars="199"/>
              <w:rPr>
                <w:rFonts w:ascii="Times New Roman" w:hAnsi="Times New Roman"/>
                <w:color w:val="auto"/>
              </w:rPr>
            </w:pPr>
            <w:r>
              <w:rPr>
                <w:rFonts w:ascii="Times New Roman" w:hAnsi="Times New Roman"/>
                <w:color w:val="auto"/>
              </w:rPr>
              <w:t>工频电场、工频磁场：距地面1.5m高处的工频电场强度、工频磁感应强度。</w:t>
            </w:r>
          </w:p>
          <w:p>
            <w:pPr>
              <w:spacing w:line="360" w:lineRule="auto"/>
              <w:ind w:firstLine="417" w:firstLineChars="199"/>
              <w:rPr>
                <w:rFonts w:ascii="Times New Roman" w:hAnsi="Times New Roman"/>
                <w:color w:val="auto"/>
              </w:rPr>
            </w:pPr>
            <w:r>
              <w:rPr>
                <w:rFonts w:ascii="Times New Roman" w:hAnsi="Times New Roman"/>
                <w:color w:val="auto"/>
              </w:rPr>
              <w:t>噪声：声环境质量（等效连续A声级）。</w:t>
            </w:r>
          </w:p>
          <w:p>
            <w:pPr>
              <w:spacing w:line="360" w:lineRule="auto"/>
              <w:ind w:firstLine="420" w:firstLineChars="200"/>
              <w:rPr>
                <w:rFonts w:ascii="Times New Roman" w:hAnsi="Times New Roman"/>
                <w:color w:val="auto"/>
              </w:rPr>
            </w:pPr>
            <w:r>
              <w:rPr>
                <w:rFonts w:hint="eastAsia" w:ascii="Times New Roman" w:hAnsi="Times New Roman"/>
                <w:color w:val="auto"/>
              </w:rPr>
              <w:t>②</w:t>
            </w:r>
            <w:r>
              <w:rPr>
                <w:rFonts w:ascii="Times New Roman" w:hAnsi="Times New Roman"/>
                <w:color w:val="auto"/>
              </w:rPr>
              <w:t>监测方法</w:t>
            </w:r>
          </w:p>
          <w:p>
            <w:pPr>
              <w:spacing w:line="360" w:lineRule="auto"/>
              <w:ind w:firstLine="420"/>
              <w:rPr>
                <w:rFonts w:ascii="Times New Roman" w:hAnsi="Times New Roman"/>
                <w:color w:val="auto"/>
              </w:rPr>
            </w:pPr>
            <w:r>
              <w:rPr>
                <w:rFonts w:ascii="Times New Roman" w:hAnsi="Times New Roman"/>
                <w:color w:val="auto"/>
              </w:rPr>
              <w:t>工频电场及工频磁场监测方法执行《交流输变电工程电磁环境监测方法》（HJ681-</w:t>
            </w:r>
            <w:r>
              <w:rPr>
                <w:rFonts w:hint="eastAsia" w:ascii="Times New Roman" w:hAnsi="Times New Roman"/>
                <w:color w:val="auto"/>
              </w:rPr>
              <w:t xml:space="preserve"> </w:t>
            </w:r>
            <w:r>
              <w:rPr>
                <w:rFonts w:ascii="Times New Roman" w:hAnsi="Times New Roman"/>
                <w:color w:val="auto"/>
              </w:rPr>
              <w:t>2013）</w:t>
            </w:r>
            <w:r>
              <w:rPr>
                <w:rFonts w:hint="eastAsia" w:ascii="Times New Roman" w:hAnsi="Times New Roman"/>
                <w:color w:val="auto"/>
              </w:rPr>
              <w:t>；</w:t>
            </w:r>
            <w:r>
              <w:rPr>
                <w:rFonts w:ascii="Times New Roman" w:hAnsi="Times New Roman"/>
                <w:color w:val="auto"/>
              </w:rPr>
              <w:t>环境噪声监测方法执行《声环境质量标准》（GB3096-2008）。</w:t>
            </w:r>
          </w:p>
          <w:p>
            <w:pPr>
              <w:spacing w:line="360" w:lineRule="auto"/>
              <w:ind w:firstLine="420" w:firstLineChars="200"/>
              <w:rPr>
                <w:rFonts w:ascii="Times New Roman" w:hAnsi="Times New Roman"/>
                <w:color w:val="auto"/>
              </w:rPr>
            </w:pPr>
            <w:r>
              <w:rPr>
                <w:rFonts w:hint="eastAsia" w:ascii="Times New Roman" w:hAnsi="Times New Roman"/>
                <w:color w:val="auto"/>
              </w:rPr>
              <w:t>③</w:t>
            </w:r>
            <w:r>
              <w:rPr>
                <w:rFonts w:ascii="Times New Roman" w:hAnsi="Times New Roman"/>
                <w:color w:val="auto"/>
              </w:rPr>
              <w:t>监测仪器</w:t>
            </w:r>
          </w:p>
          <w:p>
            <w:pPr>
              <w:pStyle w:val="23"/>
              <w:snapToGrid w:val="0"/>
              <w:spacing w:line="240" w:lineRule="auto"/>
              <w:ind w:firstLine="420" w:firstLineChars="200"/>
              <w:contextualSpacing/>
              <w:jc w:val="center"/>
              <w:rPr>
                <w:rFonts w:ascii="Times New Roman"/>
                <w:color w:val="auto"/>
                <w:kern w:val="2"/>
                <w:sz w:val="21"/>
                <w:szCs w:val="21"/>
              </w:rPr>
            </w:pPr>
            <w:r>
              <w:rPr>
                <w:rFonts w:ascii="Times New Roman"/>
                <w:b/>
                <w:bCs/>
                <w:color w:val="auto"/>
                <w:sz w:val="21"/>
                <w:szCs w:val="21"/>
              </w:rPr>
              <w:t>表3-1本工程现状监测仪器一览表</w:t>
            </w:r>
          </w:p>
          <w:tbl>
            <w:tblPr>
              <w:tblStyle w:val="50"/>
              <w:tblW w:w="75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977"/>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宋体" w:eastAsia="宋体"/>
                      <w:color w:val="auto"/>
                      <w:kern w:val="0"/>
                      <w:szCs w:val="21"/>
                    </w:rPr>
                    <w:t>仪器名称</w:t>
                  </w:r>
                </w:p>
              </w:tc>
              <w:tc>
                <w:tcPr>
                  <w:tcW w:w="297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宋体" w:eastAsia="宋体"/>
                      <w:color w:val="auto"/>
                      <w:kern w:val="0"/>
                      <w:szCs w:val="21"/>
                    </w:rPr>
                    <w:t>电磁辐射分析仪</w:t>
                  </w:r>
                </w:p>
              </w:tc>
              <w:tc>
                <w:tcPr>
                  <w:tcW w:w="311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宋体" w:eastAsia="宋体"/>
                      <w:color w:val="auto"/>
                      <w:kern w:val="0"/>
                      <w:szCs w:val="21"/>
                    </w:rPr>
                    <w:t>多功能声级计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宋体" w:eastAsia="宋体"/>
                      <w:color w:val="auto"/>
                      <w:kern w:val="0"/>
                      <w:szCs w:val="21"/>
                    </w:rPr>
                    <w:t>仪器型号</w:t>
                  </w:r>
                </w:p>
              </w:tc>
              <w:tc>
                <w:tcPr>
                  <w:tcW w:w="297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Times New Roman" w:eastAsia="宋体"/>
                      <w:color w:val="auto"/>
                      <w:kern w:val="0"/>
                      <w:szCs w:val="21"/>
                    </w:rPr>
                    <w:t>NBM550/EHP-50F</w:t>
                  </w:r>
                </w:p>
              </w:tc>
              <w:tc>
                <w:tcPr>
                  <w:tcW w:w="311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Times New Roman" w:eastAsia="宋体"/>
                      <w:color w:val="auto"/>
                      <w:kern w:val="0"/>
                      <w:szCs w:val="21"/>
                    </w:rPr>
                    <w:t>AWA6228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宋体" w:eastAsia="宋体"/>
                      <w:color w:val="auto"/>
                      <w:kern w:val="0"/>
                      <w:szCs w:val="21"/>
                    </w:rPr>
                    <w:t>检测下限</w:t>
                  </w:r>
                </w:p>
              </w:tc>
              <w:tc>
                <w:tcPr>
                  <w:tcW w:w="297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Times New Roman" w:eastAsia="宋体"/>
                      <w:color w:val="auto"/>
                      <w:kern w:val="0"/>
                      <w:szCs w:val="21"/>
                    </w:rPr>
                    <w:t>5mV/m</w:t>
                  </w:r>
                  <w:r>
                    <w:rPr>
                      <w:rFonts w:ascii="Times New Roman" w:hAnsi="宋体" w:eastAsia="宋体"/>
                      <w:color w:val="auto"/>
                      <w:kern w:val="0"/>
                      <w:szCs w:val="21"/>
                    </w:rPr>
                    <w:t>；</w:t>
                  </w:r>
                  <w:r>
                    <w:rPr>
                      <w:rFonts w:ascii="Times New Roman" w:hAnsi="Times New Roman" w:eastAsia="宋体"/>
                      <w:color w:val="auto"/>
                      <w:kern w:val="0"/>
                      <w:szCs w:val="21"/>
                    </w:rPr>
                    <w:t>0.3nT</w:t>
                  </w:r>
                </w:p>
              </w:tc>
              <w:tc>
                <w:tcPr>
                  <w:tcW w:w="311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Times New Roman" w:eastAsia="宋体"/>
                      <w:color w:val="auto"/>
                      <w:kern w:val="0"/>
                      <w:szCs w:val="21"/>
                    </w:rPr>
                    <w:t>28dB</w:t>
                  </w:r>
                  <w:r>
                    <w:rPr>
                      <w:rFonts w:ascii="Times New Roman" w:hAnsi="宋体" w:eastAsia="宋体"/>
                      <w:color w:val="auto"/>
                      <w:kern w:val="0"/>
                      <w:szCs w:val="21"/>
                    </w:rPr>
                    <w:t>（</w:t>
                  </w:r>
                  <w:r>
                    <w:rPr>
                      <w:rFonts w:ascii="Times New Roman" w:hAnsi="Times New Roman" w:eastAsia="宋体"/>
                      <w:color w:val="auto"/>
                      <w:kern w:val="0"/>
                      <w:szCs w:val="21"/>
                    </w:rPr>
                    <w:t>A</w:t>
                  </w:r>
                  <w:r>
                    <w:rPr>
                      <w:rFonts w:ascii="Times New Roman" w:hAnsi="宋体" w:eastAsia="宋体"/>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宋体" w:eastAsia="宋体"/>
                      <w:color w:val="auto"/>
                      <w:kern w:val="0"/>
                      <w:szCs w:val="21"/>
                    </w:rPr>
                    <w:t>检定有效期</w:t>
                  </w:r>
                </w:p>
              </w:tc>
              <w:tc>
                <w:tcPr>
                  <w:tcW w:w="297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Times New Roman" w:eastAsia="宋体"/>
                      <w:color w:val="auto"/>
                      <w:kern w:val="0"/>
                      <w:szCs w:val="21"/>
                    </w:rPr>
                    <w:t>2018</w:t>
                  </w:r>
                  <w:r>
                    <w:rPr>
                      <w:rFonts w:ascii="Times New Roman" w:hAnsi="宋体" w:eastAsia="宋体"/>
                      <w:color w:val="auto"/>
                      <w:kern w:val="0"/>
                      <w:szCs w:val="21"/>
                    </w:rPr>
                    <w:t>年</w:t>
                  </w:r>
                  <w:r>
                    <w:rPr>
                      <w:rFonts w:ascii="Times New Roman" w:hAnsi="Times New Roman" w:eastAsia="宋体"/>
                      <w:color w:val="auto"/>
                      <w:kern w:val="0"/>
                      <w:szCs w:val="21"/>
                    </w:rPr>
                    <w:t>12</w:t>
                  </w:r>
                  <w:r>
                    <w:rPr>
                      <w:rFonts w:ascii="Times New Roman" w:hAnsi="宋体" w:eastAsia="宋体"/>
                      <w:color w:val="auto"/>
                      <w:kern w:val="0"/>
                      <w:szCs w:val="21"/>
                    </w:rPr>
                    <w:t>月</w:t>
                  </w:r>
                  <w:r>
                    <w:rPr>
                      <w:rFonts w:ascii="Times New Roman" w:hAnsi="Times New Roman" w:eastAsia="宋体"/>
                      <w:color w:val="auto"/>
                      <w:kern w:val="0"/>
                      <w:szCs w:val="21"/>
                    </w:rPr>
                    <w:t>13</w:t>
                  </w:r>
                  <w:r>
                    <w:rPr>
                      <w:rFonts w:ascii="Times New Roman" w:hAnsi="宋体" w:eastAsia="宋体"/>
                      <w:color w:val="auto"/>
                      <w:kern w:val="0"/>
                      <w:szCs w:val="21"/>
                    </w:rPr>
                    <w:t>日至</w:t>
                  </w:r>
                  <w:r>
                    <w:rPr>
                      <w:rFonts w:ascii="Times New Roman" w:hAnsi="Times New Roman" w:eastAsia="宋体"/>
                      <w:color w:val="auto"/>
                      <w:kern w:val="0"/>
                      <w:szCs w:val="21"/>
                    </w:rPr>
                    <w:t>2019</w:t>
                  </w:r>
                  <w:r>
                    <w:rPr>
                      <w:rFonts w:ascii="Times New Roman" w:hAnsi="宋体" w:eastAsia="宋体"/>
                      <w:color w:val="auto"/>
                      <w:kern w:val="0"/>
                      <w:szCs w:val="21"/>
                    </w:rPr>
                    <w:t>年</w:t>
                  </w:r>
                  <w:r>
                    <w:rPr>
                      <w:rFonts w:ascii="Times New Roman" w:hAnsi="Times New Roman" w:eastAsia="宋体"/>
                      <w:color w:val="auto"/>
                      <w:kern w:val="0"/>
                      <w:szCs w:val="21"/>
                    </w:rPr>
                    <w:t>12</w:t>
                  </w:r>
                  <w:r>
                    <w:rPr>
                      <w:rFonts w:ascii="Times New Roman" w:hAnsi="宋体" w:eastAsia="宋体"/>
                      <w:color w:val="auto"/>
                      <w:kern w:val="0"/>
                      <w:szCs w:val="21"/>
                    </w:rPr>
                    <w:t>月</w:t>
                  </w:r>
                  <w:r>
                    <w:rPr>
                      <w:rFonts w:ascii="Times New Roman" w:hAnsi="Times New Roman" w:eastAsia="宋体"/>
                      <w:color w:val="auto"/>
                      <w:kern w:val="0"/>
                      <w:szCs w:val="21"/>
                    </w:rPr>
                    <w:t>12</w:t>
                  </w:r>
                  <w:r>
                    <w:rPr>
                      <w:rFonts w:ascii="Times New Roman" w:hAnsi="宋体" w:eastAsia="宋体"/>
                      <w:color w:val="auto"/>
                      <w:kern w:val="0"/>
                      <w:szCs w:val="21"/>
                    </w:rPr>
                    <w:t>日</w:t>
                  </w:r>
                </w:p>
              </w:tc>
              <w:tc>
                <w:tcPr>
                  <w:tcW w:w="311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Times New Roman" w:eastAsia="宋体"/>
                      <w:color w:val="auto"/>
                      <w:kern w:val="0"/>
                      <w:szCs w:val="21"/>
                    </w:rPr>
                    <w:t>201</w:t>
                  </w:r>
                  <w:r>
                    <w:rPr>
                      <w:rFonts w:hint="eastAsia" w:ascii="Times New Roman" w:hAnsi="Times New Roman" w:eastAsia="宋体"/>
                      <w:color w:val="auto"/>
                      <w:kern w:val="0"/>
                      <w:szCs w:val="21"/>
                      <w:lang w:val="en-US" w:eastAsia="zh-CN"/>
                    </w:rPr>
                    <w:t>9</w:t>
                  </w:r>
                  <w:r>
                    <w:rPr>
                      <w:rFonts w:ascii="Times New Roman" w:hAnsi="宋体" w:eastAsia="宋体"/>
                      <w:color w:val="auto"/>
                      <w:kern w:val="0"/>
                      <w:szCs w:val="21"/>
                    </w:rPr>
                    <w:t>年</w:t>
                  </w:r>
                  <w:r>
                    <w:rPr>
                      <w:rFonts w:ascii="Times New Roman" w:hAnsi="Times New Roman" w:eastAsia="宋体"/>
                      <w:color w:val="auto"/>
                      <w:kern w:val="0"/>
                      <w:szCs w:val="21"/>
                    </w:rPr>
                    <w:t>0</w:t>
                  </w:r>
                  <w:r>
                    <w:rPr>
                      <w:rFonts w:hint="eastAsia" w:ascii="Times New Roman" w:hAnsi="Times New Roman" w:eastAsia="宋体"/>
                      <w:color w:val="auto"/>
                      <w:kern w:val="0"/>
                      <w:szCs w:val="21"/>
                      <w:lang w:val="en-US" w:eastAsia="zh-CN"/>
                    </w:rPr>
                    <w:t>7</w:t>
                  </w:r>
                  <w:r>
                    <w:rPr>
                      <w:rFonts w:ascii="Times New Roman" w:hAnsi="宋体" w:eastAsia="宋体"/>
                      <w:color w:val="auto"/>
                      <w:kern w:val="0"/>
                      <w:szCs w:val="21"/>
                    </w:rPr>
                    <w:t>月</w:t>
                  </w:r>
                  <w:r>
                    <w:rPr>
                      <w:rFonts w:ascii="Times New Roman" w:hAnsi="Times New Roman" w:eastAsia="宋体"/>
                      <w:color w:val="auto"/>
                      <w:kern w:val="0"/>
                      <w:szCs w:val="21"/>
                    </w:rPr>
                    <w:t>01</w:t>
                  </w:r>
                  <w:r>
                    <w:rPr>
                      <w:rFonts w:ascii="Times New Roman" w:hAnsi="宋体" w:eastAsia="宋体"/>
                      <w:color w:val="auto"/>
                      <w:kern w:val="0"/>
                      <w:szCs w:val="21"/>
                    </w:rPr>
                    <w:t>日至</w:t>
                  </w:r>
                  <w:r>
                    <w:rPr>
                      <w:rFonts w:ascii="Times New Roman" w:hAnsi="Times New Roman" w:eastAsia="宋体"/>
                      <w:color w:val="auto"/>
                      <w:kern w:val="0"/>
                      <w:szCs w:val="21"/>
                    </w:rPr>
                    <w:t>20</w:t>
                  </w:r>
                  <w:r>
                    <w:rPr>
                      <w:rFonts w:hint="eastAsia" w:ascii="Times New Roman" w:hAnsi="Times New Roman" w:eastAsia="宋体"/>
                      <w:color w:val="auto"/>
                      <w:kern w:val="0"/>
                      <w:szCs w:val="21"/>
                      <w:lang w:val="en-US" w:eastAsia="zh-CN"/>
                    </w:rPr>
                    <w:t>20</w:t>
                  </w:r>
                  <w:r>
                    <w:rPr>
                      <w:rFonts w:ascii="Times New Roman" w:hAnsi="宋体" w:eastAsia="宋体"/>
                      <w:color w:val="auto"/>
                      <w:kern w:val="0"/>
                      <w:szCs w:val="21"/>
                    </w:rPr>
                    <w:t>年</w:t>
                  </w:r>
                  <w:r>
                    <w:rPr>
                      <w:rFonts w:ascii="Times New Roman" w:hAnsi="Times New Roman" w:eastAsia="宋体"/>
                      <w:color w:val="auto"/>
                      <w:kern w:val="0"/>
                      <w:szCs w:val="21"/>
                    </w:rPr>
                    <w:t>0</w:t>
                  </w:r>
                  <w:r>
                    <w:rPr>
                      <w:rFonts w:hint="eastAsia" w:ascii="Times New Roman" w:hAnsi="Times New Roman" w:eastAsia="宋体"/>
                      <w:color w:val="auto"/>
                      <w:kern w:val="0"/>
                      <w:szCs w:val="21"/>
                      <w:lang w:val="en-US" w:eastAsia="zh-CN"/>
                    </w:rPr>
                    <w:t>6</w:t>
                  </w:r>
                  <w:r>
                    <w:rPr>
                      <w:rFonts w:ascii="Times New Roman" w:hAnsi="宋体" w:eastAsia="宋体"/>
                      <w:color w:val="auto"/>
                      <w:kern w:val="0"/>
                      <w:szCs w:val="21"/>
                    </w:rPr>
                    <w:t>月</w:t>
                  </w:r>
                  <w:r>
                    <w:rPr>
                      <w:rFonts w:ascii="Times New Roman" w:hAnsi="Times New Roman" w:eastAsia="宋体"/>
                      <w:color w:val="auto"/>
                      <w:kern w:val="0"/>
                      <w:szCs w:val="21"/>
                    </w:rPr>
                    <w:t>3</w:t>
                  </w:r>
                  <w:r>
                    <w:rPr>
                      <w:rFonts w:hint="eastAsia" w:ascii="Times New Roman" w:hAnsi="Times New Roman" w:eastAsia="宋体"/>
                      <w:color w:val="auto"/>
                      <w:kern w:val="0"/>
                      <w:szCs w:val="21"/>
                      <w:lang w:val="en-US" w:eastAsia="zh-CN"/>
                    </w:rPr>
                    <w:t>0</w:t>
                  </w:r>
                  <w:r>
                    <w:rPr>
                      <w:rFonts w:ascii="Times New Roman" w:hAnsi="宋体" w:eastAsia="宋体"/>
                      <w:color w:val="auto"/>
                      <w:kern w:val="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宋体" w:eastAsia="宋体"/>
                      <w:color w:val="auto"/>
                      <w:kern w:val="0"/>
                      <w:szCs w:val="21"/>
                    </w:rPr>
                    <w:t>证书编号</w:t>
                  </w:r>
                </w:p>
              </w:tc>
              <w:tc>
                <w:tcPr>
                  <w:tcW w:w="297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Times New Roman" w:eastAsia="宋体"/>
                      <w:color w:val="auto"/>
                      <w:kern w:val="0"/>
                      <w:szCs w:val="21"/>
                    </w:rPr>
                    <w:t>2018F33-10-1660746002</w:t>
                  </w:r>
                </w:p>
              </w:tc>
              <w:tc>
                <w:tcPr>
                  <w:tcW w:w="311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SX201903871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宋体" w:eastAsia="宋体"/>
                      <w:color w:val="auto"/>
                      <w:kern w:val="0"/>
                      <w:szCs w:val="21"/>
                    </w:rPr>
                    <w:t>仪器编号</w:t>
                  </w:r>
                </w:p>
              </w:tc>
              <w:tc>
                <w:tcPr>
                  <w:tcW w:w="297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Times New Roman" w:eastAsia="宋体"/>
                      <w:color w:val="auto"/>
                      <w:kern w:val="0"/>
                      <w:szCs w:val="21"/>
                    </w:rPr>
                    <w:t>H-0635</w:t>
                  </w:r>
                  <w:r>
                    <w:rPr>
                      <w:rFonts w:ascii="Times New Roman" w:hAnsi="宋体" w:eastAsia="宋体"/>
                      <w:color w:val="auto"/>
                      <w:kern w:val="0"/>
                      <w:szCs w:val="21"/>
                    </w:rPr>
                    <w:t>；</w:t>
                  </w:r>
                  <w:r>
                    <w:rPr>
                      <w:rFonts w:ascii="Times New Roman" w:hAnsi="Times New Roman" w:eastAsia="宋体"/>
                      <w:color w:val="auto"/>
                      <w:kern w:val="0"/>
                      <w:szCs w:val="21"/>
                    </w:rPr>
                    <w:t>310WY80438</w:t>
                  </w:r>
                </w:p>
              </w:tc>
              <w:tc>
                <w:tcPr>
                  <w:tcW w:w="311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hint="eastAsia" w:ascii="Times New Roman" w:hAnsi="Times New Roman" w:eastAsia="宋体"/>
                      <w:color w:val="auto"/>
                      <w:kern w:val="0"/>
                      <w:szCs w:val="21"/>
                      <w:lang w:val="en-US" w:eastAsia="zh-CN"/>
                    </w:rPr>
                    <w:t>00</w:t>
                  </w:r>
                  <w:r>
                    <w:rPr>
                      <w:rFonts w:ascii="Times New Roman" w:hAnsi="Times New Roman" w:eastAsia="宋体"/>
                      <w:color w:val="auto"/>
                      <w:kern w:val="0"/>
                      <w:szCs w:val="21"/>
                    </w:rPr>
                    <w:t>314484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宋体" w:eastAsia="宋体"/>
                      <w:color w:val="auto"/>
                      <w:kern w:val="0"/>
                      <w:szCs w:val="21"/>
                    </w:rPr>
                    <w:t>检定机构</w:t>
                  </w:r>
                </w:p>
              </w:tc>
              <w:tc>
                <w:tcPr>
                  <w:tcW w:w="297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ascii="Times New Roman" w:hAnsi="宋体" w:eastAsia="宋体"/>
                      <w:color w:val="auto"/>
                      <w:kern w:val="0"/>
                      <w:szCs w:val="21"/>
                    </w:rPr>
                    <w:t>上海市计量测试技术研究院</w:t>
                  </w:r>
                </w:p>
              </w:tc>
              <w:tc>
                <w:tcPr>
                  <w:tcW w:w="311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ascii="Times New Roman" w:hAnsi="Times New Roman" w:eastAsia="宋体"/>
                      <w:color w:val="auto"/>
                      <w:kern w:val="0"/>
                      <w:szCs w:val="21"/>
                    </w:rPr>
                  </w:pPr>
                  <w:r>
                    <w:rPr>
                      <w:rFonts w:hint="eastAsia" w:ascii="Times New Roman" w:hAnsi="宋体" w:eastAsia="宋体"/>
                      <w:color w:val="auto"/>
                      <w:kern w:val="0"/>
                      <w:szCs w:val="21"/>
                      <w:lang w:eastAsia="zh-CN"/>
                    </w:rPr>
                    <w:t>广州</w:t>
                  </w:r>
                  <w:r>
                    <w:rPr>
                      <w:rFonts w:ascii="Times New Roman" w:hAnsi="宋体" w:eastAsia="宋体"/>
                      <w:color w:val="auto"/>
                      <w:kern w:val="0"/>
                      <w:szCs w:val="21"/>
                    </w:rPr>
                    <w:t>计量</w:t>
                  </w:r>
                  <w:r>
                    <w:rPr>
                      <w:rFonts w:hint="eastAsia" w:ascii="Times New Roman" w:hAnsi="宋体" w:eastAsia="宋体"/>
                      <w:color w:val="auto"/>
                      <w:kern w:val="0"/>
                      <w:szCs w:val="21"/>
                      <w:lang w:eastAsia="zh-CN"/>
                    </w:rPr>
                    <w:t>检测技术</w:t>
                  </w:r>
                  <w:r>
                    <w:rPr>
                      <w:rFonts w:ascii="Times New Roman" w:hAnsi="宋体" w:eastAsia="宋体"/>
                      <w:color w:val="auto"/>
                      <w:kern w:val="0"/>
                      <w:szCs w:val="21"/>
                    </w:rPr>
                    <w:t>研究院</w:t>
                  </w:r>
                </w:p>
              </w:tc>
            </w:tr>
          </w:tbl>
          <w:p>
            <w:pPr>
              <w:pStyle w:val="23"/>
              <w:snapToGrid w:val="0"/>
              <w:spacing w:line="360" w:lineRule="auto"/>
              <w:ind w:firstLine="420"/>
              <w:contextualSpacing/>
              <w:rPr>
                <w:rFonts w:ascii="Times New Roman"/>
                <w:color w:val="auto"/>
                <w:kern w:val="2"/>
                <w:sz w:val="21"/>
                <w:szCs w:val="21"/>
              </w:rPr>
            </w:pPr>
            <w:r>
              <w:rPr>
                <w:rFonts w:ascii="Times New Roman"/>
                <w:b/>
                <w:bCs/>
                <w:color w:val="auto"/>
                <w:kern w:val="2"/>
                <w:sz w:val="21"/>
                <w:szCs w:val="21"/>
              </w:rPr>
              <w:t>（2）监测点布设、监测条件</w:t>
            </w:r>
          </w:p>
          <w:p>
            <w:pPr>
              <w:spacing w:line="360" w:lineRule="auto"/>
              <w:ind w:firstLine="417" w:firstLineChars="199"/>
              <w:rPr>
                <w:rFonts w:hint="eastAsia" w:ascii="Times New Roman" w:hAnsi="Times New Roman"/>
                <w:color w:val="auto"/>
              </w:rPr>
            </w:pPr>
            <w:r>
              <w:rPr>
                <w:rFonts w:hint="eastAsia" w:ascii="Times New Roman" w:hAnsi="Times New Roman"/>
                <w:color w:val="auto"/>
              </w:rPr>
              <w:t>①</w:t>
            </w:r>
            <w:r>
              <w:rPr>
                <w:rFonts w:ascii="Times New Roman" w:hAnsi="Times New Roman"/>
                <w:color w:val="auto"/>
              </w:rPr>
              <w:t>监测</w:t>
            </w:r>
            <w:r>
              <w:rPr>
                <w:rFonts w:hint="eastAsia" w:ascii="Times New Roman" w:hAnsi="Times New Roman"/>
                <w:color w:val="auto"/>
              </w:rPr>
              <w:t>布点</w:t>
            </w:r>
          </w:p>
          <w:p>
            <w:pPr>
              <w:pStyle w:val="23"/>
              <w:snapToGrid w:val="0"/>
              <w:spacing w:line="360" w:lineRule="auto"/>
              <w:ind w:firstLine="420"/>
              <w:contextualSpacing/>
              <w:rPr>
                <w:rFonts w:hint="eastAsia" w:ascii="Times New Roman"/>
                <w:color w:val="auto"/>
                <w:kern w:val="2"/>
                <w:sz w:val="21"/>
                <w:szCs w:val="21"/>
              </w:rPr>
            </w:pPr>
            <w:r>
              <w:rPr>
                <w:rFonts w:ascii="Times New Roman"/>
                <w:color w:val="auto"/>
                <w:kern w:val="2"/>
                <w:sz w:val="21"/>
                <w:szCs w:val="21"/>
              </w:rPr>
              <w:t>据《环境影响评价技术导则 输变电工程》（HJ24-2014）中的监测点位及布点方法，敏感目标的布点方法以定位监测为主</w:t>
            </w:r>
            <w:r>
              <w:rPr>
                <w:rFonts w:hint="eastAsia" w:ascii="Times New Roman"/>
                <w:color w:val="auto"/>
                <w:kern w:val="2"/>
                <w:sz w:val="21"/>
                <w:szCs w:val="21"/>
              </w:rPr>
              <w:t>，兼顾行政区及环境特征的代表性</w:t>
            </w:r>
            <w:r>
              <w:rPr>
                <w:rFonts w:ascii="Times New Roman"/>
                <w:color w:val="auto"/>
                <w:kern w:val="2"/>
                <w:sz w:val="21"/>
                <w:szCs w:val="21"/>
              </w:rPr>
              <w:t>。</w:t>
            </w:r>
          </w:p>
          <w:p>
            <w:pPr>
              <w:spacing w:line="360" w:lineRule="auto"/>
              <w:ind w:firstLine="417" w:firstLineChars="199"/>
              <w:rPr>
                <w:rFonts w:hint="eastAsia" w:ascii="Times New Roman"/>
                <w:color w:val="auto"/>
              </w:rPr>
            </w:pPr>
            <w:r>
              <w:rPr>
                <w:rFonts w:ascii="Times New Roman"/>
                <w:color w:val="auto"/>
              </w:rPr>
              <w:t>根据以上原则，</w:t>
            </w:r>
            <w:r>
              <w:rPr>
                <w:rFonts w:hint="eastAsia" w:ascii="Times New Roman"/>
                <w:color w:val="auto"/>
              </w:rPr>
              <w:t>对于</w:t>
            </w:r>
            <w:r>
              <w:rPr>
                <w:rFonts w:ascii="Times New Roman"/>
                <w:color w:val="auto"/>
              </w:rPr>
              <w:t>本工程</w:t>
            </w:r>
            <w:r>
              <w:rPr>
                <w:rFonts w:hint="eastAsia" w:ascii="Times New Roman"/>
                <w:color w:val="auto"/>
              </w:rPr>
              <w:t>输电线路，本次在拟建线路沿线环境保护目标共布设了</w:t>
            </w:r>
            <w:r>
              <w:rPr>
                <w:rFonts w:hint="eastAsia" w:ascii="Times New Roman"/>
                <w:color w:val="auto"/>
                <w:lang w:val="en-US" w:eastAsia="zh-CN"/>
              </w:rPr>
              <w:t>44</w:t>
            </w:r>
            <w:r>
              <w:rPr>
                <w:rFonts w:hint="eastAsia" w:ascii="Times New Roman"/>
                <w:color w:val="auto"/>
              </w:rPr>
              <w:t>个现状监测点。</w:t>
            </w:r>
          </w:p>
          <w:p>
            <w:pPr>
              <w:spacing w:line="360" w:lineRule="auto"/>
              <w:ind w:firstLine="417" w:firstLineChars="199"/>
              <w:rPr>
                <w:rFonts w:hint="eastAsia" w:ascii="Times New Roman" w:hAnsi="Times New Roman"/>
                <w:color w:val="auto"/>
              </w:rPr>
            </w:pPr>
            <w:r>
              <w:rPr>
                <w:rFonts w:hint="eastAsia" w:ascii="Times New Roman" w:hAnsi="Times New Roman"/>
                <w:color w:val="auto"/>
              </w:rPr>
              <w:t>②</w:t>
            </w:r>
            <w:r>
              <w:rPr>
                <w:rFonts w:ascii="Times New Roman" w:hAnsi="Times New Roman"/>
                <w:color w:val="auto"/>
              </w:rPr>
              <w:t>监测</w:t>
            </w:r>
            <w:r>
              <w:rPr>
                <w:rFonts w:hint="eastAsia" w:ascii="Times New Roman" w:hAnsi="Times New Roman"/>
                <w:color w:val="auto"/>
              </w:rPr>
              <w:t>时间及监测条件</w:t>
            </w:r>
          </w:p>
          <w:p>
            <w:pPr>
              <w:spacing w:line="360" w:lineRule="auto"/>
              <w:ind w:firstLine="420"/>
              <w:rPr>
                <w:rFonts w:hint="eastAsia" w:ascii="Times New Roman" w:hAnsi="Times New Roman"/>
                <w:color w:val="auto"/>
              </w:rPr>
            </w:pPr>
            <w:r>
              <w:rPr>
                <w:rFonts w:hint="eastAsia" w:ascii="Times New Roman" w:hAnsi="Times New Roman"/>
                <w:color w:val="auto"/>
              </w:rPr>
              <w:t>现状</w:t>
            </w:r>
            <w:r>
              <w:rPr>
                <w:rFonts w:ascii="Times New Roman" w:hAnsi="Times New Roman"/>
                <w:color w:val="auto"/>
              </w:rPr>
              <w:t>监测时间：201</w:t>
            </w:r>
            <w:r>
              <w:rPr>
                <w:rFonts w:hint="eastAsia" w:ascii="Times New Roman" w:hAnsi="Times New Roman"/>
                <w:color w:val="auto"/>
                <w:lang w:val="en-US" w:eastAsia="zh-CN"/>
              </w:rPr>
              <w:t>9</w:t>
            </w:r>
            <w:r>
              <w:rPr>
                <w:rFonts w:ascii="Times New Roman" w:hAnsi="Times New Roman"/>
                <w:color w:val="auto"/>
              </w:rPr>
              <w:t>年</w:t>
            </w:r>
            <w:r>
              <w:rPr>
                <w:rFonts w:hint="eastAsia" w:ascii="Times New Roman" w:hAnsi="Times New Roman"/>
                <w:color w:val="auto"/>
                <w:lang w:val="en-US" w:eastAsia="zh-CN"/>
              </w:rPr>
              <w:t>8</w:t>
            </w:r>
            <w:r>
              <w:rPr>
                <w:rFonts w:ascii="Times New Roman" w:hAnsi="Times New Roman"/>
                <w:color w:val="auto"/>
              </w:rPr>
              <w:t>月</w:t>
            </w:r>
            <w:r>
              <w:rPr>
                <w:rFonts w:hint="eastAsia" w:ascii="Times New Roman" w:hAnsi="Times New Roman"/>
                <w:color w:val="auto"/>
                <w:lang w:val="en-US" w:eastAsia="zh-CN"/>
              </w:rPr>
              <w:t>13</w:t>
            </w:r>
            <w:r>
              <w:rPr>
                <w:rFonts w:ascii="Times New Roman" w:hAnsi="Times New Roman"/>
                <w:color w:val="auto"/>
              </w:rPr>
              <w:t>日</w:t>
            </w:r>
            <w:r>
              <w:rPr>
                <w:rFonts w:hint="eastAsia" w:ascii="Times New Roman" w:hAnsi="Times New Roman"/>
                <w:color w:val="auto"/>
                <w:lang w:val="en-US" w:eastAsia="zh-CN"/>
              </w:rPr>
              <w:t>~8月15日</w:t>
            </w:r>
            <w:r>
              <w:rPr>
                <w:rFonts w:ascii="Times New Roman" w:hAnsi="Times New Roman"/>
                <w:color w:val="auto"/>
              </w:rPr>
              <w:t>（昼间：AM</w:t>
            </w:r>
            <w:r>
              <w:rPr>
                <w:rFonts w:hint="eastAsia" w:ascii="Times New Roman" w:hAnsi="Times New Roman"/>
                <w:color w:val="auto"/>
                <w:lang w:val="en-US" w:eastAsia="zh-CN"/>
              </w:rPr>
              <w:t>9</w:t>
            </w:r>
            <w:r>
              <w:rPr>
                <w:rFonts w:ascii="Times New Roman" w:hAnsi="Times New Roman"/>
                <w:color w:val="auto"/>
              </w:rPr>
              <w:t>:00~AM1</w:t>
            </w:r>
            <w:r>
              <w:rPr>
                <w:rFonts w:hint="eastAsia" w:ascii="Times New Roman" w:hAnsi="Times New Roman"/>
                <w:color w:val="auto"/>
              </w:rPr>
              <w:t>7</w:t>
            </w:r>
            <w:r>
              <w:rPr>
                <w:rFonts w:ascii="Times New Roman" w:hAnsi="Times New Roman"/>
                <w:color w:val="auto"/>
              </w:rPr>
              <w:t>:00，夜间：PM22:00~</w:t>
            </w:r>
            <w:r>
              <w:rPr>
                <w:rFonts w:hint="eastAsia" w:ascii="Times New Roman" w:hAnsi="Times New Roman"/>
                <w:color w:val="auto"/>
              </w:rPr>
              <w:t>5日</w:t>
            </w:r>
            <w:r>
              <w:rPr>
                <w:rFonts w:ascii="Times New Roman" w:hAnsi="Times New Roman"/>
                <w:color w:val="auto"/>
              </w:rPr>
              <w:t>PM</w:t>
            </w:r>
            <w:r>
              <w:rPr>
                <w:rFonts w:hint="eastAsia" w:ascii="Times New Roman" w:hAnsi="Times New Roman"/>
                <w:color w:val="auto"/>
              </w:rPr>
              <w:t>0</w:t>
            </w:r>
            <w:r>
              <w:rPr>
                <w:rFonts w:hint="eastAsia" w:ascii="Times New Roman" w:hAnsi="Times New Roman"/>
                <w:color w:val="auto"/>
                <w:lang w:val="en-US" w:eastAsia="zh-CN"/>
              </w:rPr>
              <w:t>1</w:t>
            </w:r>
            <w:r>
              <w:rPr>
                <w:rFonts w:ascii="Times New Roman" w:hAnsi="Times New Roman"/>
                <w:color w:val="auto"/>
              </w:rPr>
              <w:t>:</w:t>
            </w:r>
            <w:r>
              <w:rPr>
                <w:rFonts w:hint="eastAsia" w:ascii="Times New Roman" w:hAnsi="Times New Roman"/>
                <w:color w:val="auto"/>
                <w:lang w:val="en-US" w:eastAsia="zh-CN"/>
              </w:rPr>
              <w:t>0</w:t>
            </w:r>
            <w:r>
              <w:rPr>
                <w:rFonts w:ascii="Times New Roman" w:hAnsi="Times New Roman"/>
                <w:color w:val="auto"/>
              </w:rPr>
              <w:t>0（夜间仅测量噪声））</w:t>
            </w:r>
          </w:p>
          <w:p>
            <w:pPr>
              <w:spacing w:line="360" w:lineRule="auto"/>
              <w:ind w:firstLine="417" w:firstLineChars="199"/>
              <w:rPr>
                <w:rFonts w:ascii="Times New Roman" w:hAnsi="Times New Roman"/>
                <w:color w:val="auto"/>
              </w:rPr>
            </w:pPr>
            <w:r>
              <w:rPr>
                <w:rFonts w:hint="eastAsia" w:ascii="Times New Roman" w:hAnsi="Times New Roman"/>
                <w:color w:val="auto"/>
              </w:rPr>
              <w:t>现状</w:t>
            </w:r>
            <w:r>
              <w:rPr>
                <w:rFonts w:ascii="Times New Roman" w:hAnsi="Times New Roman"/>
                <w:color w:val="auto"/>
              </w:rPr>
              <w:t>监测条件：</w:t>
            </w:r>
          </w:p>
          <w:tbl>
            <w:tblPr>
              <w:tblStyle w:val="50"/>
              <w:tblW w:w="7982" w:type="dxa"/>
              <w:jc w:val="center"/>
              <w:tblInd w:w="-6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427"/>
              <w:gridCol w:w="1509"/>
              <w:gridCol w:w="1635"/>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0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检测日期</w:t>
                  </w:r>
                </w:p>
              </w:tc>
              <w:tc>
                <w:tcPr>
                  <w:tcW w:w="14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天气情况</w:t>
                  </w:r>
                </w:p>
              </w:tc>
              <w:tc>
                <w:tcPr>
                  <w:tcW w:w="15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气温（℃）</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相对湿度（%）</w:t>
                  </w:r>
                </w:p>
              </w:tc>
              <w:tc>
                <w:tcPr>
                  <w:tcW w:w="13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0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2019</w:t>
                  </w:r>
                  <w:r>
                    <w:rPr>
                      <w:rFonts w:hint="eastAsia" w:ascii="Times New Roman" w:hAnsi="Times New Roman" w:cs="Times New Roman" w:eastAsiaTheme="minorEastAsia"/>
                      <w:color w:val="auto"/>
                      <w:sz w:val="21"/>
                      <w:szCs w:val="21"/>
                      <w:lang w:eastAsia="zh-CN"/>
                    </w:rPr>
                    <w:t>年</w:t>
                  </w:r>
                  <w:r>
                    <w:rPr>
                      <w:rFonts w:hint="default" w:ascii="Times New Roman" w:hAnsi="Times New Roman" w:cs="Times New Roman" w:eastAsiaTheme="minorEastAsia"/>
                      <w:color w:val="auto"/>
                      <w:sz w:val="21"/>
                      <w:szCs w:val="21"/>
                      <w:lang w:val="en-US" w:eastAsia="zh-CN"/>
                    </w:rPr>
                    <w:t>8</w:t>
                  </w:r>
                  <w:r>
                    <w:rPr>
                      <w:rFonts w:hint="eastAsia" w:ascii="Times New Roman" w:hAnsi="Times New Roman" w:cs="Times New Roman" w:eastAsiaTheme="minorEastAsia"/>
                      <w:color w:val="auto"/>
                      <w:sz w:val="21"/>
                      <w:szCs w:val="21"/>
                      <w:lang w:eastAsia="zh-CN"/>
                    </w:rPr>
                    <w:t>月</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3</w:t>
                  </w:r>
                  <w:r>
                    <w:rPr>
                      <w:rFonts w:hint="eastAsia" w:ascii="Times New Roman" w:hAnsi="Times New Roman" w:cs="Times New Roman" w:eastAsiaTheme="minorEastAsia"/>
                      <w:color w:val="auto"/>
                      <w:sz w:val="21"/>
                      <w:szCs w:val="21"/>
                      <w:lang w:eastAsia="zh-CN"/>
                    </w:rPr>
                    <w:t>日</w:t>
                  </w:r>
                </w:p>
              </w:tc>
              <w:tc>
                <w:tcPr>
                  <w:tcW w:w="14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多云</w:t>
                  </w:r>
                </w:p>
              </w:tc>
              <w:tc>
                <w:tcPr>
                  <w:tcW w:w="15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r>
                    <w:rPr>
                      <w:rFonts w:hint="default" w:ascii="Times New Roman" w:hAnsi="Times New Roman" w:cs="Times New Roman" w:eastAsiaTheme="minorEastAsia"/>
                      <w:color w:val="auto"/>
                      <w:sz w:val="21"/>
                      <w:szCs w:val="21"/>
                      <w:lang w:val="en-US" w:eastAsia="zh-CN"/>
                    </w:rPr>
                    <w:t>7</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5</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6</w:t>
                  </w:r>
                  <w:r>
                    <w:rPr>
                      <w:rFonts w:hint="default" w:ascii="Times New Roman" w:hAnsi="Times New Roman" w:cs="Times New Roman" w:eastAsiaTheme="minorEastAsia"/>
                      <w:color w:val="auto"/>
                      <w:sz w:val="21"/>
                      <w:szCs w:val="21"/>
                      <w:lang w:val="en-US" w:eastAsia="zh-CN"/>
                    </w:rPr>
                    <w:t>6</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74</w:t>
                  </w:r>
                </w:p>
              </w:tc>
              <w:tc>
                <w:tcPr>
                  <w:tcW w:w="13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1.</w:t>
                  </w:r>
                  <w:r>
                    <w:rPr>
                      <w:rFonts w:hint="default" w:ascii="Times New Roman" w:hAnsi="Times New Roman" w:cs="Times New Roman" w:eastAsiaTheme="minorEastAsia"/>
                      <w:color w:val="auto"/>
                      <w:sz w:val="21"/>
                      <w:szCs w:val="21"/>
                      <w:lang w:val="en-US" w:eastAsia="zh-CN"/>
                    </w:rPr>
                    <w:t>8</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0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2019</w:t>
                  </w:r>
                  <w:r>
                    <w:rPr>
                      <w:rFonts w:hint="eastAsia" w:ascii="Times New Roman" w:hAnsi="Times New Roman" w:cs="Times New Roman" w:eastAsiaTheme="minorEastAsia"/>
                      <w:color w:val="auto"/>
                      <w:sz w:val="21"/>
                      <w:szCs w:val="21"/>
                      <w:lang w:eastAsia="zh-CN"/>
                    </w:rPr>
                    <w:t>年</w:t>
                  </w:r>
                  <w:r>
                    <w:rPr>
                      <w:rFonts w:hint="default" w:ascii="Times New Roman" w:hAnsi="Times New Roman" w:cs="Times New Roman" w:eastAsiaTheme="minorEastAsia"/>
                      <w:color w:val="auto"/>
                      <w:sz w:val="21"/>
                      <w:szCs w:val="21"/>
                      <w:lang w:val="en-US" w:eastAsia="zh-CN"/>
                    </w:rPr>
                    <w:t>8</w:t>
                  </w:r>
                  <w:r>
                    <w:rPr>
                      <w:rFonts w:hint="eastAsia" w:ascii="Times New Roman" w:hAnsi="Times New Roman" w:cs="Times New Roman" w:eastAsiaTheme="minorEastAsia"/>
                      <w:color w:val="auto"/>
                      <w:sz w:val="21"/>
                      <w:szCs w:val="21"/>
                      <w:lang w:eastAsia="zh-CN"/>
                    </w:rPr>
                    <w:t>月</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4</w:t>
                  </w:r>
                  <w:r>
                    <w:rPr>
                      <w:rFonts w:hint="eastAsia" w:ascii="Times New Roman" w:hAnsi="Times New Roman" w:cs="Times New Roman" w:eastAsiaTheme="minorEastAsia"/>
                      <w:color w:val="auto"/>
                      <w:sz w:val="21"/>
                      <w:szCs w:val="21"/>
                      <w:lang w:eastAsia="zh-CN"/>
                    </w:rPr>
                    <w:t>日</w:t>
                  </w:r>
                </w:p>
              </w:tc>
              <w:tc>
                <w:tcPr>
                  <w:tcW w:w="14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多云</w:t>
                  </w:r>
                </w:p>
              </w:tc>
              <w:tc>
                <w:tcPr>
                  <w:tcW w:w="15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r>
                    <w:rPr>
                      <w:rFonts w:hint="default" w:ascii="Times New Roman" w:hAnsi="Times New Roman" w:cs="Times New Roman" w:eastAsiaTheme="minorEastAsia"/>
                      <w:color w:val="auto"/>
                      <w:sz w:val="21"/>
                      <w:szCs w:val="21"/>
                      <w:lang w:val="en-US" w:eastAsia="zh-CN"/>
                    </w:rPr>
                    <w:t>6</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5</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6</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72</w:t>
                  </w:r>
                </w:p>
              </w:tc>
              <w:tc>
                <w:tcPr>
                  <w:tcW w:w="13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1.</w:t>
                  </w:r>
                  <w:r>
                    <w:rPr>
                      <w:rFonts w:hint="default" w:ascii="Times New Roman" w:hAnsi="Times New Roman" w:cs="Times New Roman" w:eastAsiaTheme="minorEastAsia"/>
                      <w:color w:val="auto"/>
                      <w:sz w:val="21"/>
                      <w:szCs w:val="21"/>
                      <w:lang w:val="en-US" w:eastAsia="zh-CN"/>
                    </w:rPr>
                    <w:t>6</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0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2019</w:t>
                  </w:r>
                  <w:r>
                    <w:rPr>
                      <w:rFonts w:hint="eastAsia" w:ascii="Times New Roman" w:hAnsi="Times New Roman" w:cs="Times New Roman" w:eastAsiaTheme="minorEastAsia"/>
                      <w:color w:val="auto"/>
                      <w:sz w:val="21"/>
                      <w:szCs w:val="21"/>
                      <w:lang w:eastAsia="zh-CN"/>
                    </w:rPr>
                    <w:t>年</w:t>
                  </w:r>
                  <w:r>
                    <w:rPr>
                      <w:rFonts w:hint="default" w:ascii="Times New Roman" w:hAnsi="Times New Roman" w:cs="Times New Roman" w:eastAsiaTheme="minorEastAsia"/>
                      <w:color w:val="auto"/>
                      <w:sz w:val="21"/>
                      <w:szCs w:val="21"/>
                      <w:lang w:val="en-US" w:eastAsia="zh-CN"/>
                    </w:rPr>
                    <w:t>8</w:t>
                  </w:r>
                  <w:r>
                    <w:rPr>
                      <w:rFonts w:hint="eastAsia" w:ascii="Times New Roman" w:hAnsi="Times New Roman" w:cs="Times New Roman" w:eastAsiaTheme="minorEastAsia"/>
                      <w:color w:val="auto"/>
                      <w:sz w:val="21"/>
                      <w:szCs w:val="21"/>
                      <w:lang w:eastAsia="zh-CN"/>
                    </w:rPr>
                    <w:t>月</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5</w:t>
                  </w:r>
                  <w:r>
                    <w:rPr>
                      <w:rFonts w:hint="eastAsia" w:ascii="Times New Roman" w:hAnsi="Times New Roman" w:cs="Times New Roman" w:eastAsiaTheme="minorEastAsia"/>
                      <w:color w:val="auto"/>
                      <w:sz w:val="21"/>
                      <w:szCs w:val="21"/>
                      <w:lang w:eastAsia="zh-CN"/>
                    </w:rPr>
                    <w:t>日</w:t>
                  </w:r>
                </w:p>
              </w:tc>
              <w:tc>
                <w:tcPr>
                  <w:tcW w:w="14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多云</w:t>
                  </w:r>
                </w:p>
              </w:tc>
              <w:tc>
                <w:tcPr>
                  <w:tcW w:w="15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2</w:t>
                  </w:r>
                  <w:r>
                    <w:rPr>
                      <w:rFonts w:hint="default" w:ascii="Times New Roman" w:hAnsi="Times New Roman" w:cs="Times New Roman" w:eastAsiaTheme="minorEastAsia"/>
                      <w:color w:val="auto"/>
                      <w:sz w:val="21"/>
                      <w:szCs w:val="21"/>
                      <w:lang w:val="en-US" w:eastAsia="zh-CN"/>
                    </w:rPr>
                    <w:t>7</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34</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6</w:t>
                  </w:r>
                  <w:r>
                    <w:rPr>
                      <w:rFonts w:hint="default"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77</w:t>
                  </w:r>
                </w:p>
              </w:tc>
              <w:tc>
                <w:tcPr>
                  <w:tcW w:w="13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1.</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8</w:t>
                  </w:r>
                </w:p>
              </w:tc>
            </w:tr>
          </w:tbl>
          <w:p>
            <w:pPr>
              <w:pStyle w:val="23"/>
              <w:spacing w:line="360" w:lineRule="auto"/>
              <w:ind w:firstLine="420"/>
              <w:rPr>
                <w:rFonts w:hint="eastAsia" w:ascii="Times New Roman"/>
                <w:b/>
                <w:bCs/>
                <w:color w:val="auto"/>
                <w:kern w:val="2"/>
                <w:sz w:val="21"/>
                <w:szCs w:val="21"/>
              </w:rPr>
            </w:pPr>
            <w:r>
              <w:rPr>
                <w:rFonts w:ascii="Times New Roman"/>
                <w:b/>
                <w:bCs/>
                <w:color w:val="auto"/>
                <w:kern w:val="2"/>
                <w:sz w:val="21"/>
                <w:szCs w:val="21"/>
              </w:rPr>
              <w:t>（3）</w:t>
            </w:r>
            <w:r>
              <w:rPr>
                <w:rFonts w:hint="eastAsia" w:ascii="Times New Roman"/>
                <w:b/>
                <w:bCs/>
                <w:color w:val="auto"/>
                <w:kern w:val="2"/>
                <w:sz w:val="21"/>
                <w:szCs w:val="21"/>
              </w:rPr>
              <w:t>监测结果</w:t>
            </w:r>
          </w:p>
          <w:p>
            <w:pPr>
              <w:pStyle w:val="23"/>
              <w:spacing w:line="360" w:lineRule="auto"/>
              <w:ind w:firstLine="420"/>
              <w:rPr>
                <w:rFonts w:hint="eastAsia" w:ascii="Times New Roman"/>
                <w:color w:val="auto"/>
                <w:kern w:val="2"/>
                <w:sz w:val="21"/>
                <w:szCs w:val="21"/>
              </w:rPr>
            </w:pPr>
            <w:r>
              <w:rPr>
                <w:rFonts w:ascii="Times New Roman"/>
                <w:color w:val="auto"/>
                <w:kern w:val="2"/>
                <w:sz w:val="21"/>
                <w:szCs w:val="21"/>
              </w:rPr>
              <w:t>工频电场、工频磁场</w:t>
            </w:r>
            <w:r>
              <w:rPr>
                <w:rFonts w:hint="eastAsia" w:ascii="Times New Roman"/>
                <w:color w:val="auto"/>
                <w:kern w:val="2"/>
                <w:sz w:val="21"/>
                <w:szCs w:val="21"/>
              </w:rPr>
              <w:t>及</w:t>
            </w:r>
            <w:r>
              <w:rPr>
                <w:rFonts w:ascii="Times New Roman"/>
                <w:color w:val="auto"/>
                <w:kern w:val="2"/>
                <w:sz w:val="21"/>
                <w:szCs w:val="21"/>
              </w:rPr>
              <w:t>噪声现状监测结果：</w:t>
            </w:r>
          </w:p>
          <w:p>
            <w:pPr>
              <w:pStyle w:val="23"/>
              <w:snapToGrid w:val="0"/>
              <w:spacing w:line="240" w:lineRule="auto"/>
              <w:ind w:firstLine="0"/>
              <w:contextualSpacing/>
              <w:jc w:val="center"/>
              <w:rPr>
                <w:rFonts w:hint="eastAsia" w:ascii="Times New Roman"/>
                <w:b/>
                <w:bCs/>
                <w:color w:val="auto"/>
                <w:kern w:val="2"/>
                <w:sz w:val="21"/>
                <w:szCs w:val="21"/>
              </w:rPr>
            </w:pPr>
            <w:r>
              <w:rPr>
                <w:rFonts w:ascii="Times New Roman"/>
                <w:b/>
                <w:bCs/>
                <w:color w:val="auto"/>
                <w:kern w:val="2"/>
                <w:sz w:val="21"/>
                <w:szCs w:val="21"/>
              </w:rPr>
              <w:t>表3-</w:t>
            </w:r>
            <w:r>
              <w:rPr>
                <w:rFonts w:hint="eastAsia" w:ascii="Times New Roman"/>
                <w:b/>
                <w:bCs/>
                <w:color w:val="auto"/>
                <w:kern w:val="2"/>
                <w:sz w:val="21"/>
                <w:szCs w:val="21"/>
              </w:rPr>
              <w:t>2输电线路工程环境质量监测</w:t>
            </w:r>
            <w:r>
              <w:rPr>
                <w:rFonts w:ascii="Times New Roman"/>
                <w:b/>
                <w:bCs/>
                <w:color w:val="auto"/>
                <w:kern w:val="2"/>
                <w:sz w:val="21"/>
                <w:szCs w:val="21"/>
              </w:rPr>
              <w:t>结果一览表</w:t>
            </w:r>
          </w:p>
          <w:tbl>
            <w:tblPr>
              <w:tblStyle w:val="50"/>
              <w:tblW w:w="80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1134"/>
              <w:gridCol w:w="1134"/>
              <w:gridCol w:w="1273"/>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114"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bCs/>
                      <w:color w:val="auto"/>
                      <w:szCs w:val="28"/>
                    </w:rPr>
                  </w:pPr>
                  <w:r>
                    <w:rPr>
                      <w:rFonts w:ascii="Times New Roman" w:hAnsi="Times New Roman"/>
                      <w:bCs/>
                      <w:color w:val="auto"/>
                    </w:rPr>
                    <w:t>测点位置</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bCs/>
                      <w:color w:val="auto"/>
                      <w:szCs w:val="28"/>
                    </w:rPr>
                  </w:pPr>
                  <w:r>
                    <w:rPr>
                      <w:rFonts w:ascii="Times New Roman" w:hAnsi="Times New Roman"/>
                      <w:bCs/>
                      <w:color w:val="auto"/>
                    </w:rPr>
                    <w:t>声环境背景值dB(A)</w:t>
                  </w:r>
                </w:p>
              </w:tc>
              <w:tc>
                <w:tcPr>
                  <w:tcW w:w="1273"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Times New Roman" w:hAnsi="Times New Roman"/>
                      <w:bCs/>
                      <w:color w:val="auto"/>
                    </w:rPr>
                  </w:pPr>
                  <w:r>
                    <w:rPr>
                      <w:rFonts w:ascii="Times New Roman" w:hAnsi="Times New Roman"/>
                      <w:bCs/>
                      <w:color w:val="auto"/>
                    </w:rPr>
                    <w:t>工频</w:t>
                  </w:r>
                  <w:r>
                    <w:rPr>
                      <w:rFonts w:hint="eastAsia" w:ascii="Times New Roman" w:hAnsi="Times New Roman"/>
                      <w:bCs/>
                      <w:color w:val="auto"/>
                    </w:rPr>
                    <w:t>电场</w:t>
                  </w:r>
                </w:p>
                <w:p>
                  <w:pPr>
                    <w:snapToGrid w:val="0"/>
                    <w:jc w:val="center"/>
                    <w:rPr>
                      <w:rFonts w:hint="eastAsia" w:ascii="Times New Roman" w:hAnsi="Times New Roman"/>
                      <w:bCs/>
                      <w:color w:val="auto"/>
                    </w:rPr>
                  </w:pPr>
                  <w:r>
                    <w:rPr>
                      <w:rFonts w:ascii="Times New Roman" w:hAnsi="Times New Roman"/>
                      <w:bCs/>
                      <w:color w:val="auto"/>
                    </w:rPr>
                    <w:t>强度</w:t>
                  </w:r>
                  <w:r>
                    <w:rPr>
                      <w:rFonts w:hint="eastAsia" w:ascii="Times New Roman" w:hAnsi="Times New Roman"/>
                      <w:bCs/>
                      <w:color w:val="auto"/>
                    </w:rPr>
                    <w:t>(</w:t>
                  </w:r>
                  <w:r>
                    <w:rPr>
                      <w:rFonts w:ascii="Times New Roman" w:hAnsi="Times New Roman"/>
                      <w:bCs/>
                      <w:color w:val="auto"/>
                    </w:rPr>
                    <w:t>V/m</w:t>
                  </w:r>
                  <w:r>
                    <w:rPr>
                      <w:rFonts w:hint="eastAsia" w:ascii="Times New Roman" w:hAnsi="Times New Roman"/>
                      <w:bCs/>
                      <w:color w:val="auto"/>
                    </w:rPr>
                    <w:t>)</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Times New Roman" w:hAnsi="Times New Roman"/>
                      <w:bCs/>
                      <w:color w:val="auto"/>
                    </w:rPr>
                  </w:pPr>
                  <w:r>
                    <w:rPr>
                      <w:rFonts w:ascii="Times New Roman" w:hAnsi="Times New Roman"/>
                      <w:bCs/>
                      <w:color w:val="auto"/>
                    </w:rPr>
                    <w:t>工频</w:t>
                  </w:r>
                  <w:r>
                    <w:rPr>
                      <w:rFonts w:hint="eastAsia" w:ascii="Times New Roman" w:hAnsi="Times New Roman"/>
                      <w:bCs/>
                      <w:color w:val="auto"/>
                    </w:rPr>
                    <w:t>磁感应</w:t>
                  </w:r>
                </w:p>
                <w:p>
                  <w:pPr>
                    <w:snapToGrid w:val="0"/>
                    <w:jc w:val="center"/>
                    <w:rPr>
                      <w:rFonts w:hint="eastAsia" w:ascii="Times New Roman" w:hAnsi="Times New Roman"/>
                      <w:bCs/>
                      <w:color w:val="auto"/>
                      <w:szCs w:val="28"/>
                    </w:rPr>
                  </w:pPr>
                  <w:r>
                    <w:rPr>
                      <w:rFonts w:ascii="Times New Roman" w:hAnsi="Times New Roman"/>
                      <w:bCs/>
                      <w:color w:val="auto"/>
                    </w:rPr>
                    <w:t>强度</w:t>
                  </w:r>
                  <w:r>
                    <w:rPr>
                      <w:rFonts w:hint="eastAsia" w:ascii="Times New Roman" w:hAnsi="Times New Roman"/>
                      <w:bCs/>
                      <w:color w:val="auto"/>
                    </w:rPr>
                    <w:t>(</w:t>
                  </w:r>
                  <w:r>
                    <w:rPr>
                      <w:rFonts w:ascii="Times New Roman" w:hAnsi="Times New Roman"/>
                      <w:bCs/>
                      <w:color w:val="auto"/>
                    </w:rPr>
                    <w:t>μT</w:t>
                  </w:r>
                  <w:r>
                    <w:rPr>
                      <w:rFonts w:hint="eastAsia" w:ascii="Times New Roman" w:hAnsi="Times New Roman"/>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114"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bCs/>
                      <w:color w:val="auto"/>
                      <w:szCs w:val="2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bCs/>
                      <w:color w:val="auto"/>
                    </w:rPr>
                  </w:pPr>
                  <w:r>
                    <w:rPr>
                      <w:rFonts w:ascii="Times New Roman" w:hAnsi="Times New Roman"/>
                      <w:bCs/>
                      <w:color w:val="auto"/>
                    </w:rPr>
                    <w:t>昼间</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bCs/>
                      <w:color w:val="auto"/>
                    </w:rPr>
                  </w:pPr>
                  <w:r>
                    <w:rPr>
                      <w:rFonts w:ascii="Times New Roman" w:hAnsi="Times New Roman"/>
                      <w:bCs/>
                      <w:color w:val="auto"/>
                    </w:rPr>
                    <w:t>夜间</w:t>
                  </w: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bCs/>
                      <w:color w:val="auto"/>
                      <w:szCs w:val="28"/>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bCs/>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w:t>
                  </w:r>
                  <w:r>
                    <w:rPr>
                      <w:rFonts w:hint="eastAsia" w:ascii="Times New Roman" w:hAnsi="Times New Roman"/>
                      <w:color w:val="auto"/>
                      <w:sz w:val="18"/>
                      <w:szCs w:val="18"/>
                    </w:rPr>
                    <w:t>北侧约</w:t>
                  </w:r>
                  <w:r>
                    <w:rPr>
                      <w:rFonts w:hint="eastAsia" w:ascii="Times New Roman" w:hAnsi="Times New Roman"/>
                      <w:color w:val="auto"/>
                      <w:sz w:val="18"/>
                      <w:szCs w:val="18"/>
                      <w:lang w:val="en-US" w:eastAsia="zh-CN"/>
                    </w:rPr>
                    <w:t>36</w:t>
                  </w:r>
                  <w:r>
                    <w:rPr>
                      <w:rFonts w:hint="eastAsia" w:ascii="Times New Roman" w:hAnsi="Times New Roman"/>
                      <w:color w:val="auto"/>
                      <w:sz w:val="18"/>
                      <w:szCs w:val="18"/>
                    </w:rPr>
                    <w:t>m处</w:t>
                  </w:r>
                  <w:r>
                    <w:rPr>
                      <w:rFonts w:hint="eastAsia" w:ascii="Times New Roman" w:hAnsi="Times New Roman"/>
                      <w:color w:val="auto"/>
                      <w:sz w:val="18"/>
                      <w:szCs w:val="18"/>
                      <w:lang w:eastAsia="zh-CN"/>
                    </w:rPr>
                    <w:t>东路镇东路村在建民房东南侧</w:t>
                  </w:r>
                  <w:r>
                    <w:rPr>
                      <w:rFonts w:hint="eastAsia" w:ascii="Times New Roman" w:hAnsi="Times New Roman"/>
                      <w:color w:val="auto"/>
                      <w:sz w:val="18"/>
                      <w:szCs w:val="18"/>
                    </w:rPr>
                    <w:t>（1）</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46.2</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42.4</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1.1</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olor w:val="auto"/>
                      <w:sz w:val="18"/>
                      <w:szCs w:val="18"/>
                    </w:rPr>
                  </w:pPr>
                  <w:r>
                    <w:rPr>
                      <w:rFonts w:hint="eastAsia" w:ascii="Times New Roman" w:hAnsi="Times New Roman"/>
                      <w:color w:val="auto"/>
                      <w:sz w:val="18"/>
                      <w:szCs w:val="18"/>
                    </w:rPr>
                    <w:t>拟建线路西</w:t>
                  </w:r>
                  <w:r>
                    <w:rPr>
                      <w:rFonts w:hint="eastAsia" w:ascii="Times New Roman" w:hAnsi="Times New Roman"/>
                      <w:color w:val="auto"/>
                      <w:sz w:val="18"/>
                      <w:szCs w:val="18"/>
                      <w:lang w:eastAsia="zh-CN"/>
                    </w:rPr>
                    <w:t>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40</w:t>
                  </w:r>
                  <w:r>
                    <w:rPr>
                      <w:rFonts w:hint="eastAsia" w:ascii="Times New Roman" w:hAnsi="Times New Roman"/>
                      <w:color w:val="auto"/>
                      <w:sz w:val="18"/>
                      <w:szCs w:val="18"/>
                    </w:rPr>
                    <w:t>m处</w:t>
                  </w:r>
                  <w:r>
                    <w:rPr>
                      <w:rFonts w:hint="eastAsia" w:ascii="Times New Roman" w:hAnsi="Times New Roman"/>
                      <w:color w:val="auto"/>
                      <w:sz w:val="18"/>
                      <w:szCs w:val="18"/>
                      <w:lang w:eastAsia="zh-CN"/>
                    </w:rPr>
                    <w:t>东路镇雨坛</w:t>
                  </w:r>
                  <w:r>
                    <w:rPr>
                      <w:rFonts w:hint="eastAsia" w:ascii="Times New Roman" w:hAnsi="Times New Roman"/>
                      <w:color w:val="auto"/>
                      <w:sz w:val="18"/>
                      <w:szCs w:val="18"/>
                    </w:rPr>
                    <w:t>村1层</w:t>
                  </w:r>
                  <w:r>
                    <w:rPr>
                      <w:rFonts w:hint="eastAsia" w:ascii="Times New Roman" w:hAnsi="Times New Roman"/>
                      <w:color w:val="auto"/>
                      <w:sz w:val="18"/>
                      <w:szCs w:val="18"/>
                      <w:lang w:eastAsia="zh-CN"/>
                    </w:rPr>
                    <w:t>平顶闲置的民</w:t>
                  </w:r>
                  <w:r>
                    <w:rPr>
                      <w:rFonts w:hint="eastAsia" w:ascii="Times New Roman" w:hAnsi="Times New Roman"/>
                      <w:color w:val="auto"/>
                      <w:sz w:val="18"/>
                      <w:szCs w:val="18"/>
                    </w:rPr>
                    <w:t>房门口（2）</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ascii="Times New Roman" w:hAnsi="Times New Roman" w:eastAsia="仿宋_GB2312"/>
                      <w:color w:val="auto"/>
                    </w:rPr>
                    <w:t>4</w:t>
                  </w:r>
                  <w:r>
                    <w:rPr>
                      <w:rFonts w:hint="eastAsia" w:ascii="Times New Roman" w:hAnsi="Times New Roman" w:eastAsia="仿宋_GB2312"/>
                      <w:color w:val="auto"/>
                      <w:lang w:val="en-US" w:eastAsia="zh-CN"/>
                    </w:rPr>
                    <w:t>2</w:t>
                  </w:r>
                  <w:r>
                    <w:rPr>
                      <w:rFonts w:hint="eastAsia" w:ascii="Times New Roman" w:hAnsi="Times New Roman" w:eastAsia="仿宋_GB2312"/>
                      <w:color w:val="auto"/>
                    </w:rPr>
                    <w:t>.</w:t>
                  </w:r>
                  <w:r>
                    <w:rPr>
                      <w:rFonts w:hint="eastAsia" w:ascii="Times New Roman" w:hAnsi="Times New Roman" w:eastAsia="仿宋_GB2312"/>
                      <w:color w:val="auto"/>
                      <w:lang w:val="en-US" w:eastAsia="zh-CN"/>
                    </w:rPr>
                    <w:t>6</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olor w:val="auto"/>
                    </w:rPr>
                    <w:t>4</w:t>
                  </w:r>
                  <w:r>
                    <w:rPr>
                      <w:rFonts w:hint="eastAsia" w:ascii="Times New Roman" w:hAnsi="Times New Roman" w:eastAsia="仿宋_GB2312"/>
                      <w:color w:val="auto"/>
                      <w:lang w:val="en-US" w:eastAsia="zh-CN"/>
                    </w:rPr>
                    <w:t>0</w:t>
                  </w:r>
                  <w:r>
                    <w:rPr>
                      <w:rFonts w:hint="eastAsia" w:ascii="Times New Roman" w:hAnsi="Times New Roman" w:eastAsia="仿宋_GB2312"/>
                      <w:color w:val="auto"/>
                    </w:rPr>
                    <w:t>.</w:t>
                  </w:r>
                  <w:r>
                    <w:rPr>
                      <w:rFonts w:hint="eastAsia" w:ascii="Times New Roman" w:hAnsi="Times New Roman" w:eastAsia="仿宋_GB2312"/>
                      <w:color w:val="auto"/>
                      <w:lang w:val="en-US" w:eastAsia="zh-CN"/>
                    </w:rPr>
                    <w:t>1</w:t>
                  </w:r>
                </w:p>
              </w:tc>
              <w:tc>
                <w:tcPr>
                  <w:tcW w:w="1273"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int="default" w:ascii="Times New Roman" w:hAnsi="Times New Roman" w:eastAsia="仿宋_GB2312" w:cs="Times New Roman"/>
                      <w:color w:val="auto"/>
                      <w:lang w:val="en-US" w:eastAsia="zh-CN"/>
                    </w:rPr>
                  </w:pPr>
                  <w:r>
                    <w:rPr>
                      <w:rFonts w:hint="eastAsia" w:ascii="Times New Roman" w:eastAsia="仿宋_GB2312"/>
                      <w:color w:val="auto"/>
                      <w:kern w:val="2"/>
                      <w:sz w:val="21"/>
                      <w:szCs w:val="21"/>
                      <w:lang w:val="en-US" w:eastAsia="zh-CN"/>
                    </w:rPr>
                    <w:t>0.4</w:t>
                  </w:r>
                </w:p>
              </w:tc>
              <w:tc>
                <w:tcPr>
                  <w:tcW w:w="1440"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int="eastAsia" w:ascii="Times New Roman" w:hAnsi="Times New Roman" w:eastAsia="仿宋_GB2312" w:cs="Times New Roman"/>
                      <w:color w:val="auto"/>
                      <w:lang w:val="en-US" w:eastAsia="zh-CN"/>
                    </w:rPr>
                  </w:pPr>
                  <w:r>
                    <w:rPr>
                      <w:rFonts w:hint="eastAsia" w:ascii="Times New Roman"/>
                      <w:color w:val="auto"/>
                      <w:kern w:val="2"/>
                      <w:sz w:val="21"/>
                      <w:szCs w:val="21"/>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35</w:t>
                  </w:r>
                  <w:r>
                    <w:rPr>
                      <w:rFonts w:hint="eastAsia" w:ascii="Times New Roman" w:hAnsi="Times New Roman"/>
                      <w:color w:val="auto"/>
                      <w:sz w:val="18"/>
                      <w:szCs w:val="18"/>
                    </w:rPr>
                    <w:t>m处</w:t>
                  </w:r>
                  <w:r>
                    <w:rPr>
                      <w:rFonts w:hint="eastAsia" w:ascii="Times New Roman" w:hAnsi="Times New Roman"/>
                      <w:color w:val="auto"/>
                      <w:sz w:val="18"/>
                      <w:szCs w:val="18"/>
                      <w:lang w:eastAsia="zh-CN"/>
                    </w:rPr>
                    <w:t>东路镇打银村</w:t>
                  </w:r>
                  <w:r>
                    <w:rPr>
                      <w:rFonts w:hint="eastAsia" w:ascii="Times New Roman" w:hAnsi="Times New Roman"/>
                      <w:color w:val="auto"/>
                      <w:sz w:val="18"/>
                      <w:szCs w:val="18"/>
                    </w:rPr>
                    <w:t>1层尖顶</w:t>
                  </w:r>
                  <w:r>
                    <w:rPr>
                      <w:rFonts w:hint="eastAsia" w:ascii="Times New Roman" w:hAnsi="Times New Roman"/>
                      <w:color w:val="auto"/>
                      <w:sz w:val="18"/>
                      <w:szCs w:val="18"/>
                      <w:lang w:eastAsia="zh-CN"/>
                    </w:rPr>
                    <w:t>养鸭</w:t>
                  </w:r>
                  <w:r>
                    <w:rPr>
                      <w:rFonts w:hint="eastAsia" w:ascii="Times New Roman" w:hAnsi="Times New Roman"/>
                      <w:color w:val="auto"/>
                      <w:sz w:val="18"/>
                      <w:szCs w:val="18"/>
                    </w:rPr>
                    <w:t>看护房</w:t>
                  </w:r>
                  <w:r>
                    <w:rPr>
                      <w:rFonts w:hint="eastAsia" w:ascii="Times New Roman" w:hAnsi="Times New Roman"/>
                      <w:color w:val="auto"/>
                      <w:sz w:val="18"/>
                      <w:szCs w:val="18"/>
                      <w:lang w:eastAsia="zh-CN"/>
                    </w:rPr>
                    <w:t>门口</w:t>
                  </w:r>
                  <w:r>
                    <w:rPr>
                      <w:rFonts w:hint="eastAsia" w:ascii="Times New Roman" w:hAnsi="Times New Roman"/>
                      <w:color w:val="auto"/>
                      <w:sz w:val="18"/>
                      <w:szCs w:val="18"/>
                    </w:rPr>
                    <w:t>（3）</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47.9</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43.9</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0.5</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拟建线路跨越东路镇打银村1层平顶看护房门口（4）</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41.2</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39.4</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1.2</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拟建线路西南侧约</w:t>
                  </w:r>
                  <w:r>
                    <w:rPr>
                      <w:rFonts w:hint="eastAsia" w:ascii="Times New Roman" w:hAnsi="Times New Roman" w:cs="Times New Roman"/>
                      <w:color w:val="auto"/>
                      <w:sz w:val="18"/>
                      <w:szCs w:val="18"/>
                      <w:lang w:val="en-US" w:eastAsia="zh-CN"/>
                    </w:rPr>
                    <w:t>40</w:t>
                  </w:r>
                  <w:r>
                    <w:rPr>
                      <w:rFonts w:hint="eastAsia" w:ascii="Times New Roman" w:hAnsi="Times New Roman" w:cs="Times New Roman"/>
                      <w:color w:val="auto"/>
                      <w:sz w:val="18"/>
                      <w:szCs w:val="18"/>
                      <w:lang w:eastAsia="zh-CN"/>
                    </w:rPr>
                    <w:t>m处东路镇打银村1层尖顶看护房门口（5）</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40.3</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37.1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0.8</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拟建线路跨越东路镇1层平顶仓库门口（6</w:t>
                  </w:r>
                  <w:r>
                    <w:rPr>
                      <w:rFonts w:hint="eastAsia" w:ascii="Times New Roman" w:hAnsi="Times New Roman" w:cs="Times New Roman"/>
                      <w:color w:val="auto"/>
                      <w:sz w:val="18"/>
                      <w:szCs w:val="18"/>
                      <w:lang w:val="en-US" w:eastAsia="zh-CN"/>
                    </w:rPr>
                    <w:t>-1</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50.8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44..5</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13.6</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11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拟建线路西南侧约</w:t>
                  </w:r>
                  <w:r>
                    <w:rPr>
                      <w:rFonts w:hint="eastAsia" w:ascii="Times New Roman" w:hAnsi="Times New Roman" w:cs="Times New Roman"/>
                      <w:color w:val="auto"/>
                      <w:sz w:val="18"/>
                      <w:szCs w:val="18"/>
                      <w:lang w:val="en-US" w:eastAsia="zh-CN"/>
                    </w:rPr>
                    <w:t>26m处</w:t>
                  </w:r>
                  <w:r>
                    <w:rPr>
                      <w:rFonts w:hint="eastAsia" w:ascii="Times New Roman" w:hAnsi="Times New Roman" w:cs="Times New Roman"/>
                      <w:color w:val="auto"/>
                      <w:sz w:val="18"/>
                      <w:szCs w:val="18"/>
                      <w:lang w:eastAsia="zh-CN"/>
                    </w:rPr>
                    <w:t>东路镇</w:t>
                  </w:r>
                  <w:r>
                    <w:rPr>
                      <w:rFonts w:hint="eastAsia" w:ascii="Times New Roman" w:hAnsi="Times New Roman" w:cs="Times New Roman"/>
                      <w:color w:val="auto"/>
                      <w:sz w:val="18"/>
                      <w:szCs w:val="18"/>
                      <w:lang w:val="en-US" w:eastAsia="zh-CN"/>
                    </w:rPr>
                    <w:t>2</w:t>
                  </w:r>
                  <w:r>
                    <w:rPr>
                      <w:rFonts w:hint="eastAsia" w:ascii="Times New Roman" w:hAnsi="Times New Roman" w:cs="Times New Roman"/>
                      <w:color w:val="auto"/>
                      <w:sz w:val="18"/>
                      <w:szCs w:val="18"/>
                      <w:lang w:eastAsia="zh-CN"/>
                    </w:rPr>
                    <w:t>层尖顶龙泉共享农庄门口（6</w:t>
                  </w:r>
                  <w:r>
                    <w:rPr>
                      <w:rFonts w:hint="eastAsia" w:ascii="Times New Roman" w:hAnsi="Times New Roman" w:cs="Times New Roman"/>
                      <w:color w:val="auto"/>
                      <w:sz w:val="18"/>
                      <w:szCs w:val="18"/>
                      <w:lang w:val="en-US" w:eastAsia="zh-CN"/>
                    </w:rPr>
                    <w:t>-2</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47.2</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43.2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4.2</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12</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大致坡镇堆边山村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民房门口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7</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44.8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39.9</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0.1</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0m处</w:t>
                  </w:r>
                  <w:r>
                    <w:rPr>
                      <w:rFonts w:hint="eastAsia" w:ascii="Times New Roman" w:hAnsi="Times New Roman"/>
                      <w:color w:val="auto"/>
                      <w:sz w:val="18"/>
                      <w:szCs w:val="18"/>
                      <w:lang w:eastAsia="zh-CN"/>
                    </w:rPr>
                    <w:t>大致坡镇栽群村</w:t>
                  </w:r>
                  <w:r>
                    <w:rPr>
                      <w:rFonts w:hint="eastAsia" w:ascii="Times New Roman" w:hAnsi="Times New Roman"/>
                      <w:color w:val="auto"/>
                      <w:sz w:val="18"/>
                      <w:szCs w:val="18"/>
                      <w:lang w:val="en-US" w:eastAsia="zh-CN"/>
                    </w:rPr>
                    <w:t>1层平顶看护房北墙外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8</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42.5</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40.6</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0.4</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跨越大致坡镇乐群村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看护房门口</w:t>
                  </w:r>
                  <w:r>
                    <w:rPr>
                      <w:rFonts w:hint="eastAsia" w:ascii="Times New Roman" w:hAnsi="Times New Roman" w:cs="Times New Roman"/>
                      <w:color w:val="auto"/>
                      <w:sz w:val="18"/>
                      <w:szCs w:val="18"/>
                      <w:lang w:eastAsia="zh-CN"/>
                    </w:rPr>
                    <w:t>（</w:t>
                  </w:r>
                  <w:r>
                    <w:rPr>
                      <w:rFonts w:hint="eastAsia" w:ascii="Times New Roman" w:hAnsi="Times New Roman"/>
                      <w:color w:val="auto"/>
                      <w:sz w:val="18"/>
                      <w:szCs w:val="18"/>
                      <w:lang w:val="en-US" w:eastAsia="zh-CN"/>
                    </w:rPr>
                    <w:t>9</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43.2</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40.9</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0.7</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30</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大致坡镇乐群村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rPr>
                    <w:t>看护房</w:t>
                  </w:r>
                  <w:r>
                    <w:rPr>
                      <w:rFonts w:hint="eastAsia" w:ascii="Times New Roman" w:hAnsi="Times New Roman"/>
                      <w:color w:val="auto"/>
                      <w:sz w:val="18"/>
                      <w:szCs w:val="18"/>
                      <w:lang w:eastAsia="zh-CN"/>
                    </w:rPr>
                    <w:t>南墙外</w:t>
                  </w:r>
                  <w:r>
                    <w:rPr>
                      <w:rFonts w:hint="eastAsia" w:ascii="Times New Roman" w:hAnsi="Times New Roman" w:cs="Times New Roman"/>
                      <w:color w:val="auto"/>
                      <w:sz w:val="18"/>
                      <w:szCs w:val="18"/>
                      <w:lang w:eastAsia="zh-CN"/>
                    </w:rPr>
                    <w:t>（</w:t>
                  </w:r>
                  <w:r>
                    <w:rPr>
                      <w:rFonts w:hint="eastAsia" w:ascii="Times New Roman" w:hAnsi="Times New Roman"/>
                      <w:color w:val="auto"/>
                      <w:sz w:val="18"/>
                      <w:szCs w:val="18"/>
                      <w:lang w:val="en-US" w:eastAsia="zh-CN"/>
                    </w:rPr>
                    <w:t>10</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40.1</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37.3</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0.6</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跨越大致坡镇石庄口村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rPr>
                    <w:t>看护房</w:t>
                  </w:r>
                  <w:r>
                    <w:rPr>
                      <w:rFonts w:hint="eastAsia" w:ascii="Times New Roman" w:hAnsi="Times New Roman"/>
                      <w:color w:val="auto"/>
                      <w:sz w:val="18"/>
                      <w:szCs w:val="18"/>
                      <w:lang w:eastAsia="zh-CN"/>
                    </w:rPr>
                    <w:t>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11</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36.8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36.2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0.2</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大致坡镇石庄口村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rPr>
                    <w:t>看护房</w:t>
                  </w:r>
                  <w:r>
                    <w:rPr>
                      <w:rFonts w:hint="eastAsia" w:ascii="Times New Roman" w:hAnsi="Times New Roman"/>
                      <w:color w:val="auto"/>
                      <w:sz w:val="18"/>
                      <w:szCs w:val="18"/>
                      <w:lang w:val="en-US" w:eastAsia="zh-CN"/>
                    </w:rPr>
                    <w:t>南墙外（12-1）</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43.9</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39.9</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0.2</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12</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大致坡镇石庄口村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民房西北侧墙外（</w:t>
                  </w:r>
                  <w:r>
                    <w:rPr>
                      <w:rFonts w:hint="eastAsia" w:ascii="Times New Roman" w:hAnsi="Times New Roman"/>
                      <w:color w:val="auto"/>
                      <w:sz w:val="18"/>
                      <w:szCs w:val="18"/>
                      <w:lang w:val="en-US" w:eastAsia="zh-CN"/>
                    </w:rPr>
                    <w:t>12-2</w:t>
                  </w:r>
                  <w:r>
                    <w:rPr>
                      <w:rFonts w:hint="eastAsia" w:ascii="Times New Roman" w:hAnsi="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44.5</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40.4</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0.4</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大致坡镇石庄口村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rPr>
                    <w:t>看护房</w:t>
                  </w:r>
                  <w:r>
                    <w:rPr>
                      <w:rFonts w:hint="eastAsia" w:ascii="Times New Roman" w:hAnsi="Times New Roman"/>
                      <w:color w:val="auto"/>
                      <w:sz w:val="18"/>
                      <w:szCs w:val="18"/>
                      <w:lang w:eastAsia="zh-CN"/>
                    </w:rPr>
                    <w:t>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13</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43.1</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39.2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0.3</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大致坡镇张官村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看护房门口（</w:t>
                  </w:r>
                  <w:r>
                    <w:rPr>
                      <w:rFonts w:hint="eastAsia" w:ascii="Times New Roman" w:hAnsi="Times New Roman"/>
                      <w:color w:val="auto"/>
                      <w:sz w:val="18"/>
                      <w:szCs w:val="18"/>
                      <w:lang w:val="en-US" w:eastAsia="zh-CN"/>
                    </w:rPr>
                    <w:t>14</w:t>
                  </w:r>
                  <w:r>
                    <w:rPr>
                      <w:rFonts w:hint="eastAsia" w:ascii="Times New Roman" w:hAnsi="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42.6</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38.7</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0.3</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40</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大致坡镇张官村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看护房南墙外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15</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39.4</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37.3</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0.9</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5</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大致坡镇潭门村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看护房西墙外（</w:t>
                  </w:r>
                  <w:r>
                    <w:rPr>
                      <w:rFonts w:hint="eastAsia" w:ascii="Times New Roman" w:hAnsi="Times New Roman"/>
                      <w:color w:val="auto"/>
                      <w:sz w:val="18"/>
                      <w:szCs w:val="18"/>
                      <w:lang w:val="en-US" w:eastAsia="zh-CN"/>
                    </w:rPr>
                    <w:t>16-1</w:t>
                  </w:r>
                  <w:r>
                    <w:rPr>
                      <w:rFonts w:hint="eastAsia" w:ascii="Times New Roman" w:hAnsi="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40.8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37.5</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1.7</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大致坡镇潭门村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看护房北墙外（</w:t>
                  </w:r>
                  <w:r>
                    <w:rPr>
                      <w:rFonts w:hint="eastAsia" w:ascii="Times New Roman" w:hAnsi="Times New Roman"/>
                      <w:color w:val="auto"/>
                      <w:sz w:val="18"/>
                      <w:szCs w:val="18"/>
                      <w:lang w:val="en-US" w:eastAsia="zh-CN"/>
                    </w:rPr>
                    <w:t>16-2</w:t>
                  </w:r>
                  <w:r>
                    <w:rPr>
                      <w:rFonts w:hint="eastAsia" w:ascii="Times New Roman" w:hAnsi="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40.3</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37.8</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1.1</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跨越大致坡镇潭门村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看护房北墙外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17</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40.2</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38.3</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10.7</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跨越红旗镇桃林村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18-1</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42.5</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39.6</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0.3</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北侧约</w:t>
                  </w:r>
                  <w:r>
                    <w:rPr>
                      <w:rFonts w:hint="eastAsia" w:ascii="Times New Roman" w:hAnsi="Times New Roman"/>
                      <w:color w:val="auto"/>
                      <w:sz w:val="18"/>
                      <w:szCs w:val="18"/>
                      <w:lang w:val="en-US" w:eastAsia="zh-CN"/>
                    </w:rPr>
                    <w:t>30m处</w:t>
                  </w:r>
                  <w:r>
                    <w:rPr>
                      <w:rFonts w:hint="eastAsia" w:ascii="Times New Roman" w:hAnsi="Times New Roman"/>
                      <w:color w:val="auto"/>
                      <w:sz w:val="18"/>
                      <w:szCs w:val="18"/>
                      <w:lang w:eastAsia="zh-CN"/>
                    </w:rPr>
                    <w:t>红旗镇桃林村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18-2</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43.2</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39.8</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0.7</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m处</w:t>
                  </w:r>
                  <w:r>
                    <w:rPr>
                      <w:rFonts w:hint="eastAsia" w:ascii="Times New Roman" w:hAnsi="Times New Roman"/>
                      <w:color w:val="auto"/>
                      <w:sz w:val="18"/>
                      <w:szCs w:val="18"/>
                      <w:lang w:eastAsia="zh-CN"/>
                    </w:rPr>
                    <w:t>红旗镇昆上村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民房门口（</w:t>
                  </w:r>
                  <w:r>
                    <w:rPr>
                      <w:rFonts w:hint="eastAsia" w:ascii="Times New Roman" w:hAnsi="Times New Roman"/>
                      <w:color w:val="auto"/>
                      <w:sz w:val="18"/>
                      <w:szCs w:val="18"/>
                      <w:lang w:val="en-US" w:eastAsia="zh-CN"/>
                    </w:rPr>
                    <w:t>19-1</w:t>
                  </w:r>
                  <w:r>
                    <w:rPr>
                      <w:rFonts w:hint="eastAsia" w:ascii="Times New Roman" w:hAnsi="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41.4</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37.9</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2.5</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40</w:t>
                  </w:r>
                  <w:r>
                    <w:rPr>
                      <w:rFonts w:hint="eastAsia" w:ascii="Times New Roman" w:hAnsi="Times New Roman"/>
                      <w:color w:val="auto"/>
                      <w:sz w:val="18"/>
                      <w:szCs w:val="18"/>
                    </w:rPr>
                    <w:t>m处</w:t>
                  </w:r>
                  <w:r>
                    <w:rPr>
                      <w:rFonts w:hint="eastAsia" w:ascii="Times New Roman" w:hAnsi="Times New Roman"/>
                      <w:color w:val="auto"/>
                      <w:sz w:val="18"/>
                      <w:szCs w:val="18"/>
                      <w:lang w:eastAsia="zh-CN"/>
                    </w:rPr>
                    <w:t>红旗镇昆上村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民房门口（</w:t>
                  </w:r>
                  <w:r>
                    <w:rPr>
                      <w:rFonts w:hint="eastAsia" w:ascii="Times New Roman" w:hAnsi="Times New Roman"/>
                      <w:color w:val="auto"/>
                      <w:sz w:val="18"/>
                      <w:szCs w:val="18"/>
                      <w:lang w:val="en-US" w:eastAsia="zh-CN"/>
                    </w:rPr>
                    <w:t>19-2</w:t>
                  </w:r>
                  <w:r>
                    <w:rPr>
                      <w:rFonts w:hint="eastAsia" w:ascii="Times New Roman" w:hAnsi="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41.6</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38.2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3.4</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10</w:t>
                  </w:r>
                  <w:r>
                    <w:rPr>
                      <w:rFonts w:hint="eastAsia" w:ascii="Times New Roman" w:hAnsi="Times New Roman"/>
                      <w:color w:val="auto"/>
                      <w:sz w:val="18"/>
                      <w:szCs w:val="18"/>
                    </w:rPr>
                    <w:t>m处</w:t>
                  </w:r>
                  <w:r>
                    <w:rPr>
                      <w:rFonts w:hint="eastAsia" w:ascii="Times New Roman" w:hAnsi="Times New Roman"/>
                      <w:color w:val="auto"/>
                      <w:sz w:val="18"/>
                      <w:szCs w:val="18"/>
                      <w:lang w:eastAsia="zh-CN"/>
                    </w:rPr>
                    <w:t>红旗镇永萌村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20</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40.3</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38.7</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2.2</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20</w:t>
                  </w:r>
                  <w:r>
                    <w:rPr>
                      <w:rFonts w:hint="eastAsia" w:ascii="Times New Roman" w:hAnsi="Times New Roman"/>
                      <w:color w:val="auto"/>
                      <w:sz w:val="18"/>
                      <w:szCs w:val="18"/>
                    </w:rPr>
                    <w:t>m处</w:t>
                  </w:r>
                  <w:r>
                    <w:rPr>
                      <w:rFonts w:hint="eastAsia" w:ascii="Times New Roman" w:hAnsi="Times New Roman"/>
                      <w:color w:val="auto"/>
                      <w:sz w:val="18"/>
                      <w:szCs w:val="18"/>
                      <w:lang w:eastAsia="zh-CN"/>
                    </w:rPr>
                    <w:t>旧州镇美顶村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荔枝园生产车间东北侧墙外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21</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42.1</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39.5</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3.1</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36</w:t>
                  </w:r>
                  <w:r>
                    <w:rPr>
                      <w:rFonts w:hint="eastAsia" w:ascii="Times New Roman" w:hAnsi="Times New Roman"/>
                      <w:color w:val="auto"/>
                      <w:sz w:val="18"/>
                      <w:szCs w:val="18"/>
                    </w:rPr>
                    <w:t>m处</w:t>
                  </w:r>
                  <w:r>
                    <w:rPr>
                      <w:rFonts w:hint="eastAsia" w:ascii="Times New Roman" w:hAnsi="Times New Roman"/>
                      <w:color w:val="auto"/>
                      <w:sz w:val="18"/>
                      <w:szCs w:val="18"/>
                      <w:lang w:eastAsia="zh-CN"/>
                    </w:rPr>
                    <w:t>旧州镇美顶村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养殖棚北墙外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22</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45.6</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42.6</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3.8</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5</w:t>
                  </w:r>
                  <w:r>
                    <w:rPr>
                      <w:rFonts w:hint="eastAsia" w:ascii="Times New Roman" w:hAnsi="Times New Roman"/>
                      <w:color w:val="auto"/>
                      <w:sz w:val="18"/>
                      <w:szCs w:val="18"/>
                    </w:rPr>
                    <w:t>m处</w:t>
                  </w:r>
                  <w:r>
                    <w:rPr>
                      <w:rFonts w:hint="eastAsia" w:ascii="Times New Roman" w:hAnsi="Times New Roman"/>
                      <w:color w:val="auto"/>
                      <w:sz w:val="18"/>
                      <w:szCs w:val="18"/>
                      <w:lang w:eastAsia="zh-CN"/>
                    </w:rPr>
                    <w:t>旧州镇美顶村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23</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41.1</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38.8</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0.6</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跨越云龙镇三岭村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养殖棚西墙外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24</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40.7</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37.7</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0.8</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20</w:t>
                  </w:r>
                  <w:r>
                    <w:rPr>
                      <w:rFonts w:hint="eastAsia" w:ascii="Times New Roman" w:hAnsi="Times New Roman"/>
                      <w:color w:val="auto"/>
                      <w:sz w:val="18"/>
                      <w:szCs w:val="18"/>
                    </w:rPr>
                    <w:t>m处</w:t>
                  </w:r>
                  <w:r>
                    <w:rPr>
                      <w:rFonts w:hint="eastAsia" w:ascii="Times New Roman" w:hAnsi="Times New Roman"/>
                      <w:color w:val="auto"/>
                      <w:sz w:val="18"/>
                      <w:szCs w:val="18"/>
                      <w:lang w:eastAsia="zh-CN"/>
                    </w:rPr>
                    <w:t>龙塘镇美隆村</w:t>
                  </w:r>
                  <w:r>
                    <w:rPr>
                      <w:rFonts w:hint="eastAsia" w:ascii="Times New Roman" w:hAnsi="Times New Roman"/>
                      <w:color w:val="auto"/>
                      <w:sz w:val="18"/>
                      <w:szCs w:val="18"/>
                      <w:lang w:val="en-US" w:eastAsia="zh-CN"/>
                    </w:rPr>
                    <w:t>2层平顶</w:t>
                  </w:r>
                  <w:r>
                    <w:rPr>
                      <w:rFonts w:hint="eastAsia" w:ascii="Times New Roman" w:hAnsi="Times New Roman"/>
                      <w:color w:val="auto"/>
                      <w:sz w:val="18"/>
                      <w:szCs w:val="18"/>
                      <w:lang w:eastAsia="zh-CN"/>
                    </w:rPr>
                    <w:t>民房门口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25</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42.0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39.1</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0.1</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30</w:t>
                  </w:r>
                  <w:r>
                    <w:rPr>
                      <w:rFonts w:hint="eastAsia" w:ascii="Times New Roman" w:hAnsi="Times New Roman"/>
                      <w:color w:val="auto"/>
                      <w:sz w:val="18"/>
                      <w:szCs w:val="18"/>
                    </w:rPr>
                    <w:t>m处</w:t>
                  </w:r>
                  <w:r>
                    <w:rPr>
                      <w:rFonts w:hint="eastAsia" w:ascii="Times New Roman" w:hAnsi="Times New Roman"/>
                      <w:color w:val="auto"/>
                      <w:sz w:val="18"/>
                      <w:szCs w:val="18"/>
                      <w:lang w:eastAsia="zh-CN"/>
                    </w:rPr>
                    <w:t>龙塘镇仁庄村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养殖棚东墙外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w:t>
                  </w:r>
                  <w:r>
                    <w:rPr>
                      <w:rFonts w:hint="eastAsia" w:ascii="Times New Roman" w:hAnsi="Times New Roman" w:cs="Times New Roman"/>
                      <w:color w:val="auto"/>
                      <w:sz w:val="18"/>
                      <w:szCs w:val="18"/>
                      <w:lang w:eastAsia="zh-CN"/>
                    </w:rPr>
                    <w:t>6）</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45.6</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42.3</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0.9</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36</w:t>
                  </w:r>
                  <w:r>
                    <w:rPr>
                      <w:rFonts w:hint="eastAsia" w:ascii="Times New Roman" w:hAnsi="Times New Roman"/>
                      <w:color w:val="auto"/>
                      <w:sz w:val="18"/>
                      <w:szCs w:val="18"/>
                    </w:rPr>
                    <w:t>m处</w:t>
                  </w:r>
                  <w:r>
                    <w:rPr>
                      <w:rFonts w:hint="eastAsia" w:ascii="Times New Roman" w:hAnsi="Times New Roman"/>
                      <w:color w:val="auto"/>
                      <w:sz w:val="18"/>
                      <w:szCs w:val="18"/>
                      <w:lang w:eastAsia="zh-CN"/>
                    </w:rPr>
                    <w:t>龙塘镇永罗村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民房北墙外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27</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43.8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39.9</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1.5</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r>
                    <w:rPr>
                      <w:rFonts w:hint="eastAsia" w:ascii="Times New Roman" w:hAnsi="Times New Roman"/>
                      <w:color w:val="auto"/>
                      <w:sz w:val="18"/>
                      <w:szCs w:val="18"/>
                      <w:lang w:eastAsia="zh-CN"/>
                    </w:rPr>
                    <w:t>龙塘镇龙新村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在建民房门口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28</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41.4</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38.5</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0.8</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36</w:t>
                  </w:r>
                  <w:r>
                    <w:rPr>
                      <w:rFonts w:hint="eastAsia" w:ascii="Times New Roman" w:hAnsi="Times New Roman"/>
                      <w:color w:val="auto"/>
                      <w:sz w:val="18"/>
                      <w:szCs w:val="18"/>
                    </w:rPr>
                    <w:t>m处</w:t>
                  </w:r>
                  <w:r>
                    <w:rPr>
                      <w:rFonts w:hint="eastAsia" w:ascii="Times New Roman" w:hAnsi="Times New Roman"/>
                      <w:color w:val="auto"/>
                      <w:sz w:val="18"/>
                      <w:szCs w:val="18"/>
                      <w:lang w:eastAsia="zh-CN"/>
                    </w:rPr>
                    <w:t>龙塘镇罗京村</w:t>
                  </w:r>
                  <w:r>
                    <w:rPr>
                      <w:rFonts w:hint="eastAsia" w:ascii="Times New Roman" w:hAnsi="Times New Roman"/>
                      <w:color w:val="auto"/>
                      <w:sz w:val="18"/>
                      <w:szCs w:val="18"/>
                      <w:lang w:val="en-US" w:eastAsia="zh-CN"/>
                    </w:rPr>
                    <w:t>4层平顶在建</w:t>
                  </w:r>
                  <w:r>
                    <w:rPr>
                      <w:rFonts w:hint="eastAsia" w:ascii="Times New Roman" w:hAnsi="Times New Roman"/>
                      <w:color w:val="auto"/>
                      <w:sz w:val="18"/>
                      <w:szCs w:val="18"/>
                      <w:lang w:eastAsia="zh-CN"/>
                    </w:rPr>
                    <w:t>民房</w:t>
                  </w:r>
                  <w:r>
                    <w:rPr>
                      <w:rFonts w:hint="eastAsia" w:ascii="Times New Roman" w:hAnsi="Times New Roman"/>
                      <w:color w:val="auto"/>
                      <w:sz w:val="18"/>
                      <w:szCs w:val="18"/>
                      <w:lang w:val="en-US" w:eastAsia="zh-CN"/>
                    </w:rPr>
                    <w:t xml:space="preserve"> 西墙外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29</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44.8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40.3</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1.2</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20</w:t>
                  </w:r>
                  <w:r>
                    <w:rPr>
                      <w:rFonts w:hint="eastAsia" w:ascii="Times New Roman" w:hAnsi="Times New Roman"/>
                      <w:color w:val="auto"/>
                      <w:sz w:val="18"/>
                      <w:szCs w:val="18"/>
                    </w:rPr>
                    <w:t>m处</w:t>
                  </w:r>
                  <w:r>
                    <w:rPr>
                      <w:rFonts w:hint="eastAsia" w:ascii="Times New Roman" w:hAnsi="Times New Roman"/>
                      <w:color w:val="auto"/>
                      <w:sz w:val="18"/>
                      <w:szCs w:val="18"/>
                      <w:lang w:eastAsia="zh-CN"/>
                    </w:rPr>
                    <w:t>龙塘镇罗京村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看护房北墙外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30</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39.5</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37.9</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0.4</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35</w:t>
                  </w:r>
                  <w:r>
                    <w:rPr>
                      <w:rFonts w:hint="eastAsia" w:ascii="Times New Roman" w:hAnsi="Times New Roman"/>
                      <w:color w:val="auto"/>
                      <w:sz w:val="18"/>
                      <w:szCs w:val="18"/>
                    </w:rPr>
                    <w:t>m处</w:t>
                  </w:r>
                  <w:r>
                    <w:rPr>
                      <w:rFonts w:hint="eastAsia" w:ascii="Times New Roman" w:hAnsi="Times New Roman"/>
                      <w:color w:val="auto"/>
                      <w:sz w:val="18"/>
                      <w:szCs w:val="18"/>
                      <w:lang w:eastAsia="zh-CN"/>
                    </w:rPr>
                    <w:t>龙塘镇玉荣村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看护房西墙外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31</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olor w:val="auto"/>
                    </w:rPr>
                  </w:pPr>
                  <w:r>
                    <w:rPr>
                      <w:rFonts w:hint="eastAsia" w:ascii="Times New Roman" w:hAnsi="Times New Roman" w:eastAsia="仿宋_GB2312" w:cs="Times New Roman"/>
                      <w:color w:val="auto"/>
                      <w:lang w:val="en-US" w:eastAsia="zh-CN"/>
                    </w:rPr>
                    <w:t>38.5</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olor w:val="auto"/>
                    </w:rPr>
                  </w:pPr>
                  <w:r>
                    <w:rPr>
                      <w:rFonts w:hint="eastAsia" w:ascii="Times New Roman" w:hAnsi="Times New Roman" w:eastAsia="仿宋_GB2312" w:cs="Times New Roman"/>
                      <w:color w:val="auto"/>
                      <w:lang w:val="en-US" w:eastAsia="zh-CN"/>
                    </w:rPr>
                    <w:t>37.4</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color w:val="auto"/>
                      <w:kern w:val="2"/>
                      <w:sz w:val="21"/>
                      <w:szCs w:val="21"/>
                    </w:rPr>
                  </w:pPr>
                  <w:r>
                    <w:rPr>
                      <w:rFonts w:hint="eastAsia" w:ascii="Times New Roman" w:hAnsi="Times New Roman" w:eastAsia="仿宋_GB2312" w:cs="Times New Roman"/>
                      <w:color w:val="auto"/>
                      <w:lang w:val="en-US" w:eastAsia="zh-CN"/>
                    </w:rPr>
                    <w:t>1.0</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color w:val="auto"/>
                      <w:kern w:val="2"/>
                      <w:sz w:val="21"/>
                      <w:szCs w:val="21"/>
                    </w:rPr>
                  </w:pPr>
                  <w:r>
                    <w:rPr>
                      <w:rFonts w:hint="eastAsia" w:ascii="Times New Roman" w:hAnsi="Times New Roman" w:eastAsia="仿宋_GB2312" w:cs="Times New Roman"/>
                      <w:color w:val="auto"/>
                      <w:lang w:val="en-US" w:eastAsia="zh-CN"/>
                    </w:rPr>
                    <w:t>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r>
                    <w:rPr>
                      <w:rFonts w:hint="eastAsia" w:ascii="Times New Roman" w:hAnsi="Times New Roman"/>
                      <w:color w:val="auto"/>
                      <w:sz w:val="18"/>
                      <w:szCs w:val="18"/>
                      <w:lang w:eastAsia="zh-CN"/>
                    </w:rPr>
                    <w:t>龙桥镇潭社村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看护房东墙外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32</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olor w:val="auto"/>
                    </w:rPr>
                  </w:pPr>
                  <w:r>
                    <w:rPr>
                      <w:rFonts w:hint="eastAsia" w:ascii="Times New Roman" w:hAnsi="Times New Roman" w:eastAsia="仿宋_GB2312" w:cs="Times New Roman"/>
                      <w:color w:val="auto"/>
                      <w:lang w:val="en-US" w:eastAsia="zh-CN"/>
                    </w:rPr>
                    <w:t>44.7</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olor w:val="auto"/>
                    </w:rPr>
                  </w:pPr>
                  <w:r>
                    <w:rPr>
                      <w:rFonts w:hint="eastAsia" w:ascii="Times New Roman" w:hAnsi="Times New Roman" w:eastAsia="仿宋_GB2312" w:cs="Times New Roman"/>
                      <w:color w:val="auto"/>
                      <w:lang w:val="en-US" w:eastAsia="zh-CN"/>
                    </w:rPr>
                    <w:t>41.7</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color w:val="auto"/>
                      <w:kern w:val="2"/>
                      <w:sz w:val="21"/>
                      <w:szCs w:val="21"/>
                    </w:rPr>
                  </w:pPr>
                  <w:r>
                    <w:rPr>
                      <w:rFonts w:hint="eastAsia" w:ascii="Times New Roman" w:hAnsi="Times New Roman" w:eastAsia="仿宋_GB2312" w:cs="Times New Roman"/>
                      <w:color w:val="auto"/>
                      <w:lang w:val="en-US" w:eastAsia="zh-CN"/>
                    </w:rPr>
                    <w:t>2.1</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color w:val="auto"/>
                      <w:kern w:val="2"/>
                      <w:sz w:val="21"/>
                      <w:szCs w:val="21"/>
                    </w:rPr>
                  </w:pPr>
                  <w:r>
                    <w:rPr>
                      <w:rFonts w:hint="eastAsia" w:ascii="Times New Roman" w:hAnsi="Times New Roman" w:eastAsia="仿宋_GB2312" w:cs="Times New Roman"/>
                      <w:color w:val="auto"/>
                      <w:lang w:val="en-US" w:eastAsia="zh-CN"/>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30</w:t>
                  </w:r>
                  <w:r>
                    <w:rPr>
                      <w:rFonts w:hint="eastAsia" w:ascii="Times New Roman" w:hAnsi="Times New Roman"/>
                      <w:color w:val="auto"/>
                      <w:sz w:val="18"/>
                      <w:szCs w:val="18"/>
                    </w:rPr>
                    <w:t>m处</w:t>
                  </w:r>
                  <w:r>
                    <w:rPr>
                      <w:rFonts w:hint="eastAsia" w:ascii="Times New Roman" w:hAnsi="Times New Roman"/>
                      <w:color w:val="auto"/>
                      <w:sz w:val="18"/>
                      <w:szCs w:val="18"/>
                      <w:lang w:eastAsia="zh-CN"/>
                    </w:rPr>
                    <w:t>府城镇永田村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看护房西南侧墙外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33</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olor w:val="auto"/>
                    </w:rPr>
                  </w:pPr>
                  <w:r>
                    <w:rPr>
                      <w:rFonts w:hint="eastAsia" w:ascii="Times New Roman" w:hAnsi="Times New Roman" w:eastAsia="仿宋_GB2312" w:cs="Times New Roman"/>
                      <w:color w:val="auto"/>
                      <w:lang w:val="en-US" w:eastAsia="zh-CN"/>
                    </w:rPr>
                    <w:t>43.4</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olor w:val="auto"/>
                    </w:rPr>
                  </w:pPr>
                  <w:r>
                    <w:rPr>
                      <w:rFonts w:hint="eastAsia" w:ascii="Times New Roman" w:hAnsi="Times New Roman" w:eastAsia="仿宋_GB2312" w:cs="Times New Roman"/>
                      <w:color w:val="auto"/>
                      <w:lang w:val="en-US" w:eastAsia="zh-CN"/>
                    </w:rPr>
                    <w:t>40.2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color w:val="auto"/>
                      <w:kern w:val="2"/>
                      <w:sz w:val="21"/>
                      <w:szCs w:val="21"/>
                    </w:rPr>
                  </w:pPr>
                  <w:r>
                    <w:rPr>
                      <w:rFonts w:hint="eastAsia" w:ascii="Times New Roman" w:hAnsi="Times New Roman" w:eastAsia="仿宋_GB2312" w:cs="Times New Roman"/>
                      <w:color w:val="auto"/>
                      <w:lang w:val="en-US" w:eastAsia="zh-CN"/>
                    </w:rPr>
                    <w:t>1.3</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color w:val="auto"/>
                      <w:kern w:val="2"/>
                      <w:sz w:val="21"/>
                      <w:szCs w:val="21"/>
                    </w:rPr>
                  </w:pPr>
                  <w:r>
                    <w:rPr>
                      <w:rFonts w:hint="eastAsia" w:ascii="Times New Roman" w:hAnsi="Times New Roman" w:eastAsia="仿宋_GB2312" w:cs="Times New Roman"/>
                      <w:color w:val="auto"/>
                      <w:lang w:val="en-US" w:eastAsia="zh-CN"/>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28</w:t>
                  </w:r>
                  <w:r>
                    <w:rPr>
                      <w:rFonts w:hint="eastAsia" w:ascii="Times New Roman" w:hAnsi="Times New Roman"/>
                      <w:color w:val="auto"/>
                      <w:sz w:val="18"/>
                      <w:szCs w:val="18"/>
                    </w:rPr>
                    <w:t>m处</w:t>
                  </w:r>
                  <w:r>
                    <w:rPr>
                      <w:rFonts w:hint="eastAsia" w:ascii="Times New Roman" w:hAnsi="Times New Roman"/>
                      <w:color w:val="auto"/>
                      <w:sz w:val="18"/>
                      <w:szCs w:val="18"/>
                      <w:lang w:eastAsia="zh-CN"/>
                    </w:rPr>
                    <w:t>城镇永田村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看护房东墙外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34</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olor w:val="auto"/>
                    </w:rPr>
                  </w:pPr>
                  <w:r>
                    <w:rPr>
                      <w:rFonts w:hint="eastAsia" w:ascii="Times New Roman" w:hAnsi="Times New Roman" w:eastAsia="仿宋_GB2312" w:cs="Times New Roman"/>
                      <w:color w:val="auto"/>
                      <w:lang w:val="en-US" w:eastAsia="zh-CN"/>
                    </w:rPr>
                    <w:t>49.6</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olor w:val="auto"/>
                    </w:rPr>
                  </w:pPr>
                  <w:r>
                    <w:rPr>
                      <w:rFonts w:hint="eastAsia" w:ascii="Times New Roman" w:hAnsi="Times New Roman" w:eastAsia="仿宋_GB2312" w:cs="Times New Roman"/>
                      <w:color w:val="auto"/>
                      <w:lang w:val="en-US" w:eastAsia="zh-CN"/>
                    </w:rPr>
                    <w:t>44.3</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color w:val="auto"/>
                      <w:kern w:val="2"/>
                      <w:sz w:val="21"/>
                      <w:szCs w:val="21"/>
                    </w:rPr>
                  </w:pPr>
                  <w:r>
                    <w:rPr>
                      <w:rFonts w:hint="eastAsia" w:ascii="Times New Roman" w:hAnsi="Times New Roman" w:eastAsia="仿宋_GB2312" w:cs="Times New Roman"/>
                      <w:color w:val="auto"/>
                      <w:lang w:val="en-US" w:eastAsia="zh-CN"/>
                    </w:rPr>
                    <w:t>1.9</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color w:val="auto"/>
                      <w:kern w:val="2"/>
                      <w:sz w:val="21"/>
                      <w:szCs w:val="21"/>
                    </w:rPr>
                  </w:pPr>
                  <w:r>
                    <w:rPr>
                      <w:rFonts w:hint="eastAsia" w:ascii="Times New Roman" w:hAnsi="Times New Roman" w:eastAsia="仿宋_GB2312" w:cs="Times New Roman"/>
                      <w:color w:val="auto"/>
                      <w:lang w:val="en-US" w:eastAsia="zh-CN"/>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lang w:eastAsia="zh-CN"/>
                    </w:rPr>
                    <w:t>拟建线路跨越城镇永田村</w:t>
                  </w:r>
                  <w:r>
                    <w:rPr>
                      <w:rFonts w:hint="eastAsia" w:ascii="Times New Roman" w:hAnsi="Times New Roman"/>
                      <w:color w:val="auto"/>
                      <w:sz w:val="18"/>
                      <w:szCs w:val="18"/>
                      <w:lang w:val="en-US" w:eastAsia="zh-CN"/>
                    </w:rPr>
                    <w:t>1层尖顶民房门口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35-1</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olor w:val="auto"/>
                    </w:rPr>
                  </w:pPr>
                  <w:r>
                    <w:rPr>
                      <w:rFonts w:hint="eastAsia" w:ascii="Times New Roman" w:hAnsi="Times New Roman" w:eastAsia="仿宋_GB2312" w:cs="Times New Roman"/>
                      <w:color w:val="auto"/>
                      <w:lang w:val="en-US" w:eastAsia="zh-CN"/>
                    </w:rPr>
                    <w:t>51.2</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olor w:val="auto"/>
                    </w:rPr>
                  </w:pPr>
                  <w:r>
                    <w:rPr>
                      <w:rFonts w:hint="eastAsia" w:ascii="Times New Roman" w:hAnsi="Times New Roman" w:eastAsia="仿宋_GB2312" w:cs="Times New Roman"/>
                      <w:color w:val="auto"/>
                      <w:lang w:val="en-US" w:eastAsia="zh-CN"/>
                    </w:rPr>
                    <w:t>44.6</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color w:val="auto"/>
                      <w:kern w:val="2"/>
                      <w:sz w:val="21"/>
                      <w:szCs w:val="21"/>
                      <w:lang w:val="en-US"/>
                    </w:rPr>
                  </w:pPr>
                  <w:r>
                    <w:rPr>
                      <w:rFonts w:hint="eastAsia" w:ascii="Times New Roman" w:hAnsi="Times New Roman" w:eastAsia="仿宋_GB2312" w:cs="Times New Roman"/>
                      <w:color w:val="auto"/>
                      <w:lang w:val="en-US" w:eastAsia="zh-CN"/>
                    </w:rPr>
                    <w:t>65.6</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color w:val="auto"/>
                      <w:kern w:val="2"/>
                      <w:sz w:val="21"/>
                      <w:szCs w:val="21"/>
                      <w:lang w:val="en-US"/>
                    </w:rPr>
                  </w:pPr>
                  <w:r>
                    <w:rPr>
                      <w:rFonts w:hint="eastAsia" w:ascii="Times New Roman" w:hAnsi="Times New Roman" w:eastAsia="仿宋_GB2312" w:cs="Times New Roman"/>
                      <w:color w:val="auto"/>
                      <w:lang w:val="en-US" w:eastAsia="zh-CN"/>
                    </w:rPr>
                    <w:t>0.349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sz w:val="18"/>
                      <w:szCs w:val="18"/>
                      <w:lang w:eastAsia="zh-CN"/>
                    </w:rPr>
                  </w:pPr>
                  <w:r>
                    <w:rPr>
                      <w:rFonts w:hint="eastAsia" w:ascii="Times New Roman" w:hAnsi="Times New Roman"/>
                      <w:color w:val="auto"/>
                      <w:sz w:val="18"/>
                      <w:szCs w:val="18"/>
                      <w:lang w:eastAsia="zh-CN"/>
                    </w:rPr>
                    <w:t>拟建线路西北侧约</w:t>
                  </w:r>
                  <w:r>
                    <w:rPr>
                      <w:rFonts w:hint="eastAsia" w:ascii="Times New Roman" w:hAnsi="Times New Roman"/>
                      <w:color w:val="auto"/>
                      <w:sz w:val="18"/>
                      <w:szCs w:val="18"/>
                      <w:lang w:val="en-US" w:eastAsia="zh-CN"/>
                    </w:rPr>
                    <w:t>15m</w:t>
                  </w:r>
                  <w:r>
                    <w:rPr>
                      <w:rFonts w:hint="eastAsia" w:ascii="Times New Roman" w:hAnsi="Times New Roman"/>
                      <w:color w:val="auto"/>
                      <w:sz w:val="18"/>
                      <w:szCs w:val="18"/>
                      <w:lang w:eastAsia="zh-CN"/>
                    </w:rPr>
                    <w:t>城镇永田村</w:t>
                  </w:r>
                  <w:r>
                    <w:rPr>
                      <w:rFonts w:hint="eastAsia" w:ascii="Times New Roman" w:hAnsi="Times New Roman"/>
                      <w:color w:val="auto"/>
                      <w:sz w:val="18"/>
                      <w:szCs w:val="18"/>
                      <w:lang w:val="en-US" w:eastAsia="zh-CN"/>
                    </w:rPr>
                    <w:t>1层平顶民房门口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35-2</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50.6</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44.2</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45.2</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w:t>
                  </w:r>
                  <w:r>
                    <w:rPr>
                      <w:rFonts w:hint="eastAsia" w:ascii="Times New Roman" w:hAnsi="Times New Roman"/>
                      <w:color w:val="auto"/>
                      <w:sz w:val="18"/>
                      <w:szCs w:val="18"/>
                      <w:lang w:eastAsia="zh-CN"/>
                    </w:rPr>
                    <w:t>临时保电</w:t>
                  </w:r>
                  <w:r>
                    <w:rPr>
                      <w:rFonts w:hint="eastAsia" w:ascii="Times New Roman" w:hAnsi="Times New Roman"/>
                      <w:color w:val="auto"/>
                      <w:sz w:val="18"/>
                      <w:szCs w:val="18"/>
                    </w:rPr>
                    <w:t>线路</w:t>
                  </w:r>
                  <w:r>
                    <w:rPr>
                      <w:rFonts w:hint="eastAsia" w:ascii="Times New Roman" w:hAnsi="Times New Roman"/>
                      <w:color w:val="auto"/>
                      <w:sz w:val="18"/>
                      <w:szCs w:val="18"/>
                      <w:lang w:eastAsia="zh-CN"/>
                    </w:rPr>
                    <w:t>西北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m处</w:t>
                  </w:r>
                  <w:r>
                    <w:rPr>
                      <w:rFonts w:hint="eastAsia" w:ascii="Times New Roman" w:hAnsi="Times New Roman"/>
                      <w:color w:val="auto"/>
                      <w:sz w:val="18"/>
                      <w:szCs w:val="18"/>
                      <w:lang w:eastAsia="zh-CN"/>
                    </w:rPr>
                    <w:t>城镇儒传村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w:t>
                  </w:r>
                  <w:r>
                    <w:rPr>
                      <w:rFonts w:hint="eastAsia" w:ascii="Times New Roman" w:hAnsi="Times New Roman" w:cs="Times New Roman"/>
                      <w:color w:val="auto"/>
                      <w:sz w:val="18"/>
                      <w:szCs w:val="18"/>
                      <w:lang w:eastAsia="zh-CN"/>
                    </w:rPr>
                    <w:t>6）</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olor w:val="auto"/>
                    </w:rPr>
                  </w:pPr>
                  <w:r>
                    <w:rPr>
                      <w:rFonts w:hint="eastAsia" w:ascii="Times New Roman" w:hAnsi="Times New Roman" w:eastAsia="仿宋_GB2312" w:cs="Times New Roman"/>
                      <w:color w:val="auto"/>
                      <w:lang w:val="en-US" w:eastAsia="zh-CN"/>
                    </w:rPr>
                    <w:t>40.4</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olor w:val="auto"/>
                    </w:rPr>
                  </w:pPr>
                  <w:r>
                    <w:rPr>
                      <w:rFonts w:hint="eastAsia" w:ascii="Times New Roman" w:hAnsi="Times New Roman" w:eastAsia="仿宋_GB2312" w:cs="Times New Roman"/>
                      <w:color w:val="auto"/>
                      <w:lang w:val="en-US" w:eastAsia="zh-CN"/>
                    </w:rPr>
                    <w:t>38.4</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color w:val="auto"/>
                      <w:kern w:val="2"/>
                      <w:sz w:val="21"/>
                      <w:szCs w:val="21"/>
                      <w:lang w:val="en-US"/>
                    </w:rPr>
                  </w:pPr>
                  <w:r>
                    <w:rPr>
                      <w:rFonts w:hint="eastAsia" w:ascii="Times New Roman" w:hAnsi="Times New Roman" w:eastAsia="仿宋_GB2312" w:cs="Times New Roman"/>
                      <w:color w:val="auto"/>
                      <w:lang w:val="en-US" w:eastAsia="zh-CN"/>
                    </w:rPr>
                    <w:t>9.1</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color w:val="auto"/>
                      <w:kern w:val="2"/>
                      <w:sz w:val="21"/>
                      <w:szCs w:val="21"/>
                      <w:lang w:val="en-US"/>
                    </w:rPr>
                  </w:pPr>
                  <w:r>
                    <w:rPr>
                      <w:rFonts w:hint="eastAsia" w:ascii="Times New Roman" w:hAnsi="Times New Roman" w:eastAsia="仿宋_GB2312" w:cs="Times New Roman"/>
                      <w:color w:val="auto"/>
                      <w:lang w:val="en-US" w:eastAsia="zh-CN"/>
                    </w:rPr>
                    <w:t>0.232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sz w:val="18"/>
                      <w:szCs w:val="18"/>
                    </w:rPr>
                    <w:t>拟建</w:t>
                  </w:r>
                  <w:r>
                    <w:rPr>
                      <w:rFonts w:hint="eastAsia" w:ascii="Times New Roman" w:hAnsi="Times New Roman"/>
                      <w:color w:val="auto"/>
                      <w:sz w:val="18"/>
                      <w:szCs w:val="18"/>
                      <w:lang w:eastAsia="zh-CN"/>
                    </w:rPr>
                    <w:t>临时</w:t>
                  </w:r>
                  <w:r>
                    <w:rPr>
                      <w:rFonts w:hint="eastAsia" w:ascii="Times New Roman" w:hAnsi="Times New Roman"/>
                      <w:color w:val="auto"/>
                      <w:sz w:val="18"/>
                      <w:szCs w:val="18"/>
                    </w:rPr>
                    <w:t>线路</w:t>
                  </w:r>
                  <w:r>
                    <w:rPr>
                      <w:rFonts w:hint="eastAsia" w:ascii="Times New Roman" w:hAnsi="Times New Roman"/>
                      <w:color w:val="auto"/>
                      <w:sz w:val="18"/>
                      <w:szCs w:val="18"/>
                      <w:lang w:eastAsia="zh-CN"/>
                    </w:rPr>
                    <w:t>跨越城镇永田村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37-1</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olor w:val="auto"/>
                    </w:rPr>
                  </w:pPr>
                  <w:r>
                    <w:rPr>
                      <w:rFonts w:hint="eastAsia" w:ascii="Times New Roman" w:hAnsi="Times New Roman" w:eastAsia="仿宋_GB2312" w:cs="Times New Roman"/>
                      <w:color w:val="auto"/>
                      <w:lang w:val="en-US" w:eastAsia="zh-CN"/>
                    </w:rPr>
                    <w:t>46.8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Times New Roman" w:hAnsi="Times New Roman" w:eastAsia="仿宋_GB2312"/>
                      <w:color w:val="auto"/>
                    </w:rPr>
                  </w:pPr>
                  <w:r>
                    <w:rPr>
                      <w:rFonts w:hint="eastAsia" w:ascii="Times New Roman" w:hAnsi="Times New Roman" w:eastAsia="仿宋_GB2312" w:cs="Times New Roman"/>
                      <w:color w:val="auto"/>
                      <w:lang w:val="en-US" w:eastAsia="zh-CN"/>
                    </w:rPr>
                    <w:t>43.8</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color w:val="auto"/>
                      <w:kern w:val="2"/>
                      <w:sz w:val="21"/>
                      <w:szCs w:val="21"/>
                      <w:lang w:val="en-US"/>
                    </w:rPr>
                  </w:pPr>
                  <w:r>
                    <w:rPr>
                      <w:rFonts w:hint="eastAsia" w:ascii="Times New Roman" w:hAnsi="Times New Roman" w:eastAsia="仿宋_GB2312" w:cs="Times New Roman"/>
                      <w:color w:val="auto"/>
                      <w:lang w:val="en-US" w:eastAsia="zh-CN"/>
                    </w:rPr>
                    <w:t>192.3*</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color w:val="auto"/>
                      <w:kern w:val="2"/>
                      <w:sz w:val="21"/>
                      <w:szCs w:val="21"/>
                      <w:lang w:val="en-US"/>
                    </w:rPr>
                  </w:pPr>
                  <w:r>
                    <w:rPr>
                      <w:rFonts w:hint="eastAsia" w:ascii="Times New Roman" w:hAnsi="Times New Roman" w:eastAsia="仿宋_GB2312" w:cs="Times New Roman"/>
                      <w:color w:val="auto"/>
                      <w:lang w:val="en-US" w:eastAsia="zh-CN"/>
                    </w:rPr>
                    <w:t>0.383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w:t>
                  </w:r>
                  <w:r>
                    <w:rPr>
                      <w:rFonts w:hint="eastAsia" w:ascii="Times New Roman" w:hAnsi="Times New Roman"/>
                      <w:color w:val="auto"/>
                      <w:sz w:val="18"/>
                      <w:szCs w:val="18"/>
                      <w:lang w:eastAsia="zh-CN"/>
                    </w:rPr>
                    <w:t>临时</w:t>
                  </w:r>
                  <w:r>
                    <w:rPr>
                      <w:rFonts w:hint="eastAsia" w:ascii="Times New Roman" w:hAnsi="Times New Roman"/>
                      <w:color w:val="auto"/>
                      <w:sz w:val="18"/>
                      <w:szCs w:val="18"/>
                    </w:rPr>
                    <w:t>线路</w:t>
                  </w:r>
                  <w:r>
                    <w:rPr>
                      <w:rFonts w:hint="eastAsia" w:ascii="Times New Roman" w:hAnsi="Times New Roman"/>
                      <w:color w:val="auto"/>
                      <w:sz w:val="18"/>
                      <w:szCs w:val="18"/>
                      <w:lang w:eastAsia="zh-CN"/>
                    </w:rPr>
                    <w:t>东南侧约</w:t>
                  </w:r>
                  <w:r>
                    <w:rPr>
                      <w:rFonts w:hint="eastAsia" w:ascii="Times New Roman" w:hAnsi="Times New Roman"/>
                      <w:color w:val="auto"/>
                      <w:sz w:val="18"/>
                      <w:szCs w:val="18"/>
                      <w:lang w:val="en-US" w:eastAsia="zh-CN"/>
                    </w:rPr>
                    <w:t>18m处</w:t>
                  </w:r>
                  <w:r>
                    <w:rPr>
                      <w:rFonts w:hint="eastAsia" w:ascii="Times New Roman" w:hAnsi="Times New Roman"/>
                      <w:color w:val="auto"/>
                      <w:sz w:val="18"/>
                      <w:szCs w:val="18"/>
                      <w:lang w:eastAsia="zh-CN"/>
                    </w:rPr>
                    <w:t>城镇永田村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37-2</w:t>
                  </w:r>
                  <w:r>
                    <w:rPr>
                      <w:rFonts w:hint="eastAsia" w:ascii="Times New Roman" w:hAnsi="Times New Roman" w:cs="Times New Roman"/>
                      <w:color w:val="auto"/>
                      <w:sz w:val="18"/>
                      <w:szCs w:val="1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44.7</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41.5</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32.4</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.0269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11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标准</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bCs/>
                      <w:color w:val="auto"/>
                    </w:rPr>
                  </w:pPr>
                  <w:r>
                    <w:rPr>
                      <w:rFonts w:hint="eastAsia" w:ascii="Times New Roman" w:hAnsi="Times New Roman"/>
                      <w:bCs/>
                      <w:color w:val="auto"/>
                    </w:rPr>
                    <w:t>55</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bCs/>
                      <w:color w:val="auto"/>
                    </w:rPr>
                  </w:pPr>
                  <w:r>
                    <w:rPr>
                      <w:rFonts w:hint="eastAsia" w:ascii="Times New Roman" w:hAnsi="Times New Roman"/>
                      <w:bCs/>
                      <w:color w:val="auto"/>
                    </w:rPr>
                    <w:t>45</w:t>
                  </w:r>
                </w:p>
              </w:tc>
              <w:tc>
                <w:tcPr>
                  <w:tcW w:w="12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jc w:val="center"/>
                    <w:rPr>
                      <w:rFonts w:hint="default" w:ascii="Times New Roman" w:hAnsi="Times New Roman" w:eastAsia="宋体"/>
                      <w:bCs/>
                      <w:color w:val="auto"/>
                      <w:lang w:val="en-US" w:eastAsia="zh-CN"/>
                    </w:rPr>
                  </w:pPr>
                  <w:r>
                    <w:rPr>
                      <w:rFonts w:hint="eastAsia" w:ascii="Times New Roman" w:hAnsi="Times New Roman"/>
                      <w:bCs/>
                      <w:color w:val="auto"/>
                    </w:rPr>
                    <w:t>4</w:t>
                  </w:r>
                  <w:r>
                    <w:rPr>
                      <w:rFonts w:hint="eastAsia" w:ascii="Times New Roman" w:hAnsi="Times New Roman"/>
                      <w:bCs/>
                      <w:color w:val="auto"/>
                      <w:lang w:val="en-US" w:eastAsia="zh-CN"/>
                    </w:rPr>
                    <w:t>000</w:t>
                  </w:r>
                </w:p>
              </w:tc>
              <w:tc>
                <w:tcPr>
                  <w:tcW w:w="14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jc w:val="center"/>
                    <w:rPr>
                      <w:rFonts w:hint="eastAsia" w:ascii="Times New Roman" w:hAnsi="Times New Roman"/>
                      <w:bCs/>
                      <w:color w:val="auto"/>
                    </w:rPr>
                  </w:pPr>
                  <w:r>
                    <w:rPr>
                      <w:rFonts w:hint="eastAsia" w:ascii="Times New Roman" w:hAnsi="Times New Roman"/>
                      <w:bCs/>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095"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jc w:val="left"/>
                    <w:rPr>
                      <w:rFonts w:hint="default" w:ascii="Times New Roman" w:hAnsi="Times New Roman" w:eastAsia="宋体"/>
                      <w:bCs/>
                      <w:color w:val="auto"/>
                      <w:lang w:val="en-US" w:eastAsia="zh-CN"/>
                    </w:rPr>
                  </w:pPr>
                  <w:r>
                    <w:rPr>
                      <w:rFonts w:hint="eastAsia" w:ascii="Times New Roman" w:hAnsi="Times New Roman"/>
                      <w:bCs/>
                      <w:color w:val="auto"/>
                      <w:lang w:val="en-US" w:eastAsia="zh-CN"/>
                    </w:rPr>
                    <w:t>*该检测点位于220kV玉洲变电站南侧（220kV出线侧）约15m处。</w:t>
                  </w:r>
                </w:p>
              </w:tc>
            </w:tr>
          </w:tbl>
          <w:p>
            <w:pPr>
              <w:spacing w:line="360" w:lineRule="auto"/>
              <w:ind w:firstLine="411" w:firstLineChars="196"/>
              <w:rPr>
                <w:rFonts w:hint="eastAsia" w:ascii="Times New Roman" w:hAnsi="Times New Roman"/>
                <w:b/>
                <w:bCs/>
                <w:color w:val="auto"/>
              </w:rPr>
            </w:pPr>
            <w:r>
              <w:rPr>
                <w:rFonts w:ascii="Times New Roman" w:hAnsi="Times New Roman"/>
                <w:b/>
                <w:bCs/>
                <w:color w:val="auto"/>
              </w:rPr>
              <w:t>由表3-</w:t>
            </w:r>
            <w:r>
              <w:rPr>
                <w:rFonts w:hint="eastAsia" w:ascii="Times New Roman" w:hAnsi="Times New Roman"/>
                <w:b/>
                <w:bCs/>
                <w:color w:val="auto"/>
              </w:rPr>
              <w:t>2环境质量</w:t>
            </w:r>
            <w:r>
              <w:rPr>
                <w:rFonts w:ascii="Times New Roman" w:hAnsi="Times New Roman"/>
                <w:b/>
                <w:bCs/>
                <w:color w:val="auto"/>
              </w:rPr>
              <w:t>现状监测</w:t>
            </w:r>
            <w:r>
              <w:rPr>
                <w:rFonts w:hint="eastAsia" w:ascii="Times New Roman" w:hAnsi="Times New Roman"/>
                <w:b/>
                <w:bCs/>
                <w:color w:val="auto"/>
              </w:rPr>
              <w:t>结果</w:t>
            </w:r>
            <w:r>
              <w:rPr>
                <w:rFonts w:ascii="Times New Roman" w:hAnsi="Times New Roman"/>
                <w:b/>
                <w:bCs/>
                <w:color w:val="auto"/>
              </w:rPr>
              <w:t>：</w:t>
            </w:r>
          </w:p>
          <w:p>
            <w:pPr>
              <w:spacing w:line="360" w:lineRule="auto"/>
              <w:ind w:firstLine="411" w:firstLineChars="196"/>
              <w:rPr>
                <w:rFonts w:hint="eastAsia" w:ascii="Times New Roman" w:hAnsi="Times New Roman"/>
                <w:color w:val="auto"/>
              </w:rPr>
            </w:pPr>
            <w:r>
              <w:rPr>
                <w:rFonts w:hint="eastAsia" w:ascii="Times New Roman" w:hAnsi="Times New Roman"/>
                <w:color w:val="auto"/>
              </w:rPr>
              <w:t>本工程线路沿线环境保护目标处</w:t>
            </w:r>
            <w:r>
              <w:rPr>
                <w:rFonts w:ascii="Times New Roman" w:hAnsi="Times New Roman"/>
                <w:color w:val="auto"/>
              </w:rPr>
              <w:t>工频电场强度</w:t>
            </w:r>
            <w:r>
              <w:rPr>
                <w:rFonts w:hint="eastAsia" w:ascii="Times New Roman" w:hAnsi="Times New Roman"/>
                <w:color w:val="auto"/>
              </w:rPr>
              <w:t>为</w:t>
            </w:r>
            <w:r>
              <w:rPr>
                <w:rFonts w:hint="eastAsia" w:ascii="Times New Roman"/>
                <w:color w:val="auto"/>
                <w:lang w:val="en-US" w:eastAsia="zh-CN"/>
              </w:rPr>
              <w:t>0.1</w:t>
            </w:r>
            <w:r>
              <w:rPr>
                <w:rFonts w:hint="eastAsia" w:ascii="Times New Roman" w:hAnsi="Times New Roman"/>
                <w:color w:val="auto"/>
              </w:rPr>
              <w:t>~</w:t>
            </w:r>
            <w:r>
              <w:rPr>
                <w:rFonts w:hint="eastAsia" w:ascii="Times New Roman" w:hAnsi="Times New Roman"/>
                <w:color w:val="auto"/>
                <w:lang w:val="en-US" w:eastAsia="zh-CN"/>
              </w:rPr>
              <w:t>192.</w:t>
            </w:r>
            <w:r>
              <w:rPr>
                <w:rFonts w:hint="eastAsia" w:ascii="Times New Roman"/>
                <w:color w:val="auto"/>
              </w:rPr>
              <w:t>3</w:t>
            </w:r>
            <w:r>
              <w:rPr>
                <w:rFonts w:ascii="Times New Roman" w:hAnsi="Times New Roman"/>
                <w:color w:val="auto"/>
              </w:rPr>
              <w:t>V/m，工频磁感应强度</w:t>
            </w:r>
            <w:r>
              <w:rPr>
                <w:rFonts w:hint="eastAsia" w:ascii="Times New Roman" w:hAnsi="Times New Roman"/>
                <w:color w:val="auto"/>
              </w:rPr>
              <w:t>为</w:t>
            </w:r>
            <w:r>
              <w:rPr>
                <w:rFonts w:ascii="Times New Roman" w:hAnsi="Times New Roman"/>
                <w:color w:val="auto"/>
              </w:rPr>
              <w:t>0.0</w:t>
            </w:r>
            <w:r>
              <w:rPr>
                <w:rFonts w:hint="eastAsia" w:ascii="Times New Roman" w:hAnsi="Times New Roman"/>
                <w:color w:val="auto"/>
                <w:lang w:val="en-US" w:eastAsia="zh-CN"/>
              </w:rPr>
              <w:t>04</w:t>
            </w:r>
            <w:r>
              <w:rPr>
                <w:rFonts w:hint="eastAsia" w:ascii="Times New Roman" w:hAnsi="Times New Roman"/>
                <w:color w:val="auto"/>
              </w:rPr>
              <w:t>~0.</w:t>
            </w:r>
            <w:r>
              <w:rPr>
                <w:rFonts w:hint="eastAsia" w:ascii="Times New Roman" w:hAnsi="Times New Roman"/>
                <w:color w:val="auto"/>
                <w:lang w:val="en-US" w:eastAsia="zh-CN"/>
              </w:rPr>
              <w:t>383</w:t>
            </w:r>
            <w:r>
              <w:rPr>
                <w:rFonts w:ascii="Times New Roman" w:hAnsi="Times New Roman"/>
                <w:color w:val="auto"/>
              </w:rPr>
              <w:t>μT</w:t>
            </w:r>
            <w:r>
              <w:rPr>
                <w:rFonts w:hint="eastAsia" w:ascii="Times New Roman" w:hAnsi="Times New Roman"/>
                <w:color w:val="auto"/>
              </w:rPr>
              <w:t>，</w:t>
            </w:r>
            <w:r>
              <w:rPr>
                <w:rFonts w:ascii="Times New Roman" w:hAnsi="Times New Roman"/>
                <w:color w:val="auto"/>
              </w:rPr>
              <w:t>工频电场强度、工频磁感应强度</w:t>
            </w:r>
            <w:r>
              <w:rPr>
                <w:rFonts w:hint="eastAsia" w:ascii="Times New Roman" w:hAnsi="Times New Roman"/>
                <w:color w:val="auto"/>
              </w:rPr>
              <w:t>均低于</w:t>
            </w:r>
            <w:r>
              <w:rPr>
                <w:rFonts w:ascii="Times New Roman" w:hAnsi="Times New Roman"/>
                <w:color w:val="auto"/>
              </w:rPr>
              <w:t>公众曝露</w:t>
            </w:r>
            <w:r>
              <w:rPr>
                <w:rFonts w:hint="eastAsia" w:ascii="Times New Roman" w:hAnsi="Times New Roman"/>
                <w:color w:val="auto"/>
              </w:rPr>
              <w:t>控制</w:t>
            </w:r>
            <w:r>
              <w:rPr>
                <w:rFonts w:ascii="Times New Roman" w:hAnsi="Times New Roman"/>
                <w:color w:val="auto"/>
              </w:rPr>
              <w:t>限值4kV/m和100μT的</w:t>
            </w:r>
            <w:r>
              <w:rPr>
                <w:rFonts w:hint="eastAsia" w:ascii="Times New Roman" w:hAnsi="Times New Roman"/>
                <w:color w:val="auto"/>
              </w:rPr>
              <w:t>评价标准</w:t>
            </w:r>
            <w:r>
              <w:rPr>
                <w:rFonts w:ascii="Times New Roman" w:hAnsi="Times New Roman"/>
                <w:color w:val="auto"/>
              </w:rPr>
              <w:t>要求。</w:t>
            </w:r>
          </w:p>
          <w:p>
            <w:pPr>
              <w:snapToGrid w:val="0"/>
              <w:spacing w:line="360" w:lineRule="auto"/>
              <w:ind w:firstLine="388" w:firstLineChars="196"/>
              <w:contextualSpacing/>
              <w:rPr>
                <w:rFonts w:hint="eastAsia" w:ascii="Times New Roman" w:hAnsi="Times New Roman"/>
                <w:color w:val="auto"/>
              </w:rPr>
            </w:pPr>
            <w:r>
              <w:rPr>
                <w:rFonts w:hint="eastAsia" w:ascii="Times New Roman" w:hAnsi="Times New Roman"/>
                <w:color w:val="auto"/>
                <w:spacing w:val="-6"/>
              </w:rPr>
              <w:t>本工线路沿线</w:t>
            </w:r>
            <w:r>
              <w:rPr>
                <w:rFonts w:ascii="Times New Roman" w:hAnsi="Times New Roman"/>
                <w:color w:val="auto"/>
                <w:spacing w:val="-6"/>
              </w:rPr>
              <w:t>环境保护目标处声环境质量检测值昼间为</w:t>
            </w:r>
            <w:r>
              <w:rPr>
                <w:rFonts w:hint="eastAsia" w:ascii="Times New Roman" w:hAnsi="Times New Roman"/>
                <w:color w:val="auto"/>
                <w:spacing w:val="-6"/>
              </w:rPr>
              <w:t>3</w:t>
            </w:r>
            <w:r>
              <w:rPr>
                <w:rFonts w:hint="eastAsia" w:ascii="Times New Roman" w:hAnsi="Times New Roman"/>
                <w:color w:val="auto"/>
                <w:spacing w:val="-6"/>
                <w:lang w:val="en-US" w:eastAsia="zh-CN"/>
              </w:rPr>
              <w:t>6.8</w:t>
            </w:r>
            <w:r>
              <w:rPr>
                <w:rFonts w:hint="eastAsia" w:ascii="Times New Roman" w:hAnsi="Times New Roman"/>
                <w:color w:val="auto"/>
                <w:spacing w:val="-6"/>
              </w:rPr>
              <w:t>~</w:t>
            </w:r>
            <w:r>
              <w:rPr>
                <w:rFonts w:hint="eastAsia" w:ascii="Times New Roman" w:hAnsi="Times New Roman"/>
                <w:color w:val="auto"/>
                <w:spacing w:val="-6"/>
                <w:lang w:val="en-US" w:eastAsia="zh-CN"/>
              </w:rPr>
              <w:t>51.2</w:t>
            </w:r>
            <w:r>
              <w:rPr>
                <w:rFonts w:ascii="Times New Roman" w:hAnsi="Times New Roman"/>
                <w:color w:val="auto"/>
                <w:spacing w:val="-6"/>
              </w:rPr>
              <w:t>dB(A)，夜间为</w:t>
            </w:r>
            <w:r>
              <w:rPr>
                <w:rFonts w:hint="eastAsia" w:ascii="Times New Roman" w:hAnsi="Times New Roman"/>
                <w:color w:val="auto"/>
                <w:spacing w:val="-6"/>
              </w:rPr>
              <w:t>36.</w:t>
            </w:r>
            <w:r>
              <w:rPr>
                <w:rFonts w:hint="eastAsia" w:ascii="Times New Roman" w:hAnsi="Times New Roman"/>
                <w:color w:val="auto"/>
                <w:spacing w:val="-6"/>
                <w:lang w:val="en-US" w:eastAsia="zh-CN"/>
              </w:rPr>
              <w:t>2</w:t>
            </w:r>
            <w:r>
              <w:rPr>
                <w:rFonts w:hint="eastAsia" w:ascii="Times New Roman" w:hAnsi="Times New Roman"/>
                <w:color w:val="auto"/>
                <w:spacing w:val="-6"/>
              </w:rPr>
              <w:t>~4</w:t>
            </w:r>
            <w:r>
              <w:rPr>
                <w:rFonts w:hint="eastAsia" w:ascii="Times New Roman" w:hAnsi="Times New Roman"/>
                <w:color w:val="auto"/>
                <w:spacing w:val="-6"/>
                <w:lang w:val="en-US" w:eastAsia="zh-CN"/>
              </w:rPr>
              <w:t>4</w:t>
            </w:r>
            <w:r>
              <w:rPr>
                <w:rFonts w:hint="eastAsia" w:ascii="Times New Roman" w:hAnsi="Times New Roman"/>
                <w:color w:val="auto"/>
                <w:spacing w:val="-6"/>
              </w:rPr>
              <w:t>.6</w:t>
            </w:r>
            <w:r>
              <w:rPr>
                <w:rFonts w:ascii="Times New Roman" w:hAnsi="Times New Roman"/>
                <w:color w:val="auto"/>
                <w:spacing w:val="-6"/>
              </w:rPr>
              <w:t>dB(A)，</w:t>
            </w:r>
            <w:r>
              <w:rPr>
                <w:rFonts w:hint="eastAsia" w:ascii="Times New Roman" w:hAnsi="Times New Roman"/>
                <w:color w:val="auto"/>
                <w:spacing w:val="-6"/>
              </w:rPr>
              <w:t>昼、夜间声环境</w:t>
            </w:r>
            <w:r>
              <w:rPr>
                <w:rFonts w:ascii="Times New Roman" w:hAnsi="Times New Roman"/>
                <w:color w:val="auto"/>
                <w:spacing w:val="-6"/>
              </w:rPr>
              <w:t>均满足《声环境质量标准》（GB3096-2008）</w:t>
            </w:r>
            <w:r>
              <w:rPr>
                <w:rFonts w:hint="eastAsia" w:ascii="Times New Roman" w:hAnsi="Times New Roman"/>
                <w:color w:val="auto"/>
                <w:spacing w:val="-6"/>
              </w:rPr>
              <w:t>1</w:t>
            </w:r>
            <w:r>
              <w:rPr>
                <w:rFonts w:ascii="Times New Roman" w:hAnsi="Times New Roman"/>
                <w:color w:val="auto"/>
                <w:spacing w:val="-6"/>
              </w:rPr>
              <w:t>类标准要求。</w:t>
            </w:r>
          </w:p>
          <w:p>
            <w:pPr>
              <w:snapToGrid w:val="0"/>
              <w:spacing w:line="360" w:lineRule="auto"/>
              <w:contextualSpacing/>
              <w:outlineLvl w:val="1"/>
              <w:rPr>
                <w:rFonts w:ascii="Times New Roman" w:hAnsi="Times New Roman"/>
                <w:b/>
                <w:bCs/>
                <w:color w:val="auto"/>
                <w:sz w:val="24"/>
                <w:szCs w:val="24"/>
              </w:rPr>
            </w:pPr>
            <w:r>
              <w:rPr>
                <w:rFonts w:ascii="Times New Roman" w:hAnsi="Times New Roman"/>
                <w:b/>
                <w:bCs/>
                <w:color w:val="auto"/>
                <w:sz w:val="24"/>
                <w:szCs w:val="24"/>
              </w:rPr>
              <w:t>3.2 主要环境保护目标（列出名单和保护级别）</w:t>
            </w:r>
          </w:p>
          <w:p>
            <w:pPr>
              <w:snapToGrid w:val="0"/>
              <w:spacing w:line="360" w:lineRule="auto"/>
              <w:ind w:firstLine="420" w:firstLineChars="200"/>
              <w:contextualSpacing/>
              <w:rPr>
                <w:rFonts w:hint="eastAsia" w:ascii="Times New Roman" w:hAnsi="Times New Roman"/>
                <w:color w:val="auto"/>
                <w:lang w:eastAsia="zh-CN"/>
              </w:rPr>
            </w:pPr>
            <w:r>
              <w:rPr>
                <w:rFonts w:ascii="Times New Roman"/>
                <w:color w:val="auto"/>
              </w:rPr>
              <w:t>根据现场踏勘及工程设计资料，以及对</w:t>
            </w:r>
            <w:r>
              <w:rPr>
                <w:rFonts w:hint="eastAsia" w:ascii="Times New Roman"/>
                <w:color w:val="auto"/>
                <w:lang w:eastAsia="zh-CN"/>
              </w:rPr>
              <w:t>文昌气电π接</w:t>
            </w:r>
            <w:r>
              <w:rPr>
                <w:rFonts w:hint="eastAsia" w:ascii="Times New Roman"/>
                <w:color w:val="auto"/>
              </w:rPr>
              <w:t>220kV</w:t>
            </w:r>
            <w:r>
              <w:rPr>
                <w:rFonts w:hint="eastAsia" w:ascii="Times New Roman"/>
                <w:color w:val="auto"/>
                <w:lang w:eastAsia="zh-CN"/>
              </w:rPr>
              <w:t>玉洲至江东</w:t>
            </w:r>
            <w:r>
              <w:rPr>
                <w:rFonts w:hint="eastAsia" w:ascii="Times New Roman"/>
                <w:color w:val="auto"/>
              </w:rPr>
              <w:t>线路新建工程</w:t>
            </w:r>
            <w:r>
              <w:rPr>
                <w:rFonts w:ascii="Times New Roman"/>
                <w:color w:val="auto"/>
              </w:rPr>
              <w:t>周边情况的了解，本工程评价范围内</w:t>
            </w:r>
            <w:r>
              <w:rPr>
                <w:rFonts w:hint="eastAsia" w:ascii="Times New Roman"/>
                <w:color w:val="auto"/>
              </w:rPr>
              <w:t>无</w:t>
            </w:r>
            <w:r>
              <w:rPr>
                <w:rFonts w:ascii="Times New Roman"/>
                <w:color w:val="auto"/>
              </w:rPr>
              <w:t>自然保护区，风景名胜区、世界文化和自然遗产地、等环境敏感区</w:t>
            </w:r>
            <w:r>
              <w:rPr>
                <w:rFonts w:hint="eastAsia" w:ascii="Times New Roman"/>
                <w:color w:val="auto"/>
                <w:lang w:eastAsia="zh-CN"/>
              </w:rPr>
              <w:t>，评价范围内涉及</w:t>
            </w:r>
            <w:r>
              <w:rPr>
                <w:rFonts w:ascii="Times New Roman" w:hAnsi="Times New Roman"/>
                <w:color w:val="auto"/>
                <w:szCs w:val="20"/>
              </w:rPr>
              <w:t>海南省</w:t>
            </w:r>
            <w:r>
              <w:rPr>
                <w:rFonts w:hint="eastAsia" w:ascii="Times New Roman" w:hAnsi="Times New Roman"/>
                <w:color w:val="auto"/>
                <w:szCs w:val="20"/>
                <w:lang w:eastAsia="zh-CN"/>
              </w:rPr>
              <w:t>省级</w:t>
            </w:r>
            <w:r>
              <w:rPr>
                <w:rFonts w:ascii="Times New Roman" w:hAnsi="Times New Roman"/>
                <w:color w:val="auto"/>
                <w:szCs w:val="20"/>
              </w:rPr>
              <w:t>陆域生态保护红线区</w:t>
            </w:r>
            <w:r>
              <w:rPr>
                <w:rFonts w:hint="eastAsia" w:ascii="Times New Roman" w:hAnsi="Times New Roman"/>
                <w:color w:val="auto"/>
                <w:szCs w:val="20"/>
                <w:lang w:eastAsia="zh-CN"/>
              </w:rPr>
              <w:t>（</w:t>
            </w:r>
            <w:r>
              <w:rPr>
                <w:rFonts w:hint="eastAsia" w:ascii="Times New Roman" w:hAnsi="Times New Roman"/>
                <w:color w:val="auto"/>
                <w:szCs w:val="20"/>
                <w:lang w:val="en-US" w:eastAsia="zh-CN"/>
              </w:rPr>
              <w:t>4处</w:t>
            </w:r>
            <w:r>
              <w:rPr>
                <w:rFonts w:hint="eastAsia" w:ascii="Times New Roman" w:hAnsi="Times New Roman"/>
                <w:color w:val="auto"/>
                <w:szCs w:val="20"/>
                <w:lang w:eastAsia="zh-CN"/>
              </w:rPr>
              <w:t>）、南渡江龙塘</w:t>
            </w:r>
            <w:r>
              <w:rPr>
                <w:rFonts w:ascii="Times New Roman" w:hAnsi="Times New Roman"/>
                <w:color w:val="auto"/>
                <w:szCs w:val="20"/>
              </w:rPr>
              <w:t>饮用水水源保护区</w:t>
            </w:r>
            <w:r>
              <w:rPr>
                <w:rFonts w:hint="eastAsia" w:ascii="Times New Roman" w:hAnsi="Times New Roman"/>
                <w:color w:val="auto"/>
                <w:szCs w:val="20"/>
                <w:lang w:eastAsia="zh-CN"/>
              </w:rPr>
              <w:t>、羊山湿地多用途管理区、</w:t>
            </w:r>
            <w:r>
              <w:rPr>
                <w:rFonts w:hint="eastAsia" w:ascii="Times New Roman" w:hAnsi="Times New Roman"/>
                <w:color w:val="auto"/>
                <w:lang w:eastAsia="zh-CN"/>
              </w:rPr>
              <w:t>海口响水河省级湿地公园、海口三十六曲溪省级湿地公园和新旧沟湿地乡村公园（新旧沟湿地保护小区）。涉及到的这</w:t>
            </w:r>
            <w:r>
              <w:rPr>
                <w:rFonts w:hint="eastAsia" w:ascii="Times New Roman" w:hAnsi="Times New Roman"/>
                <w:color w:val="auto"/>
                <w:lang w:val="en-US" w:eastAsia="zh-CN"/>
              </w:rPr>
              <w:t>4处</w:t>
            </w:r>
            <w:r>
              <w:rPr>
                <w:rFonts w:hint="eastAsia" w:ascii="Times New Roman" w:hAnsi="Times New Roman"/>
                <w:color w:val="auto"/>
                <w:lang w:eastAsia="zh-CN"/>
              </w:rPr>
              <w:t>生态保护红线区、</w:t>
            </w:r>
            <w:r>
              <w:rPr>
                <w:rFonts w:hint="eastAsia" w:ascii="Times New Roman" w:hAnsi="Times New Roman"/>
                <w:color w:val="auto"/>
                <w:lang w:val="en-US" w:eastAsia="zh-CN"/>
              </w:rPr>
              <w:t>3个</w:t>
            </w:r>
            <w:r>
              <w:rPr>
                <w:rFonts w:hint="eastAsia" w:ascii="Times New Roman" w:hAnsi="Times New Roman"/>
                <w:color w:val="auto"/>
                <w:lang w:eastAsia="zh-CN"/>
              </w:rPr>
              <w:t>湿地公园、</w:t>
            </w:r>
            <w:r>
              <w:rPr>
                <w:rFonts w:hint="eastAsia" w:ascii="Times New Roman" w:hAnsi="Times New Roman"/>
                <w:color w:val="auto"/>
                <w:lang w:val="en-US" w:eastAsia="zh-CN"/>
              </w:rPr>
              <w:t>1个饮用水水源保护区及羊山湿地多用途管理区的规范范围相互重合</w:t>
            </w:r>
            <w:r>
              <w:rPr>
                <w:rFonts w:hint="eastAsia" w:ascii="Times New Roman" w:hAnsi="Times New Roman"/>
                <w:color w:val="auto"/>
                <w:lang w:eastAsia="zh-CN"/>
              </w:rPr>
              <w:t>。</w:t>
            </w:r>
          </w:p>
          <w:p>
            <w:pPr>
              <w:snapToGrid w:val="0"/>
              <w:spacing w:line="360" w:lineRule="auto"/>
              <w:ind w:firstLine="420" w:firstLineChars="200"/>
              <w:contextualSpacing/>
              <w:rPr>
                <w:rFonts w:hint="eastAsia" w:ascii="Times New Roman"/>
                <w:color w:val="auto"/>
              </w:rPr>
            </w:pPr>
            <w:r>
              <w:rPr>
                <w:rFonts w:ascii="Times New Roman"/>
                <w:color w:val="auto"/>
              </w:rPr>
              <w:t>工程建设地区位于平原区，本工程的主要电磁环境保护目标为</w:t>
            </w:r>
            <w:r>
              <w:rPr>
                <w:rFonts w:hint="eastAsia" w:ascii="Times New Roman"/>
                <w:color w:val="auto"/>
              </w:rPr>
              <w:t>22</w:t>
            </w:r>
            <w:r>
              <w:rPr>
                <w:rFonts w:ascii="Times New Roman"/>
                <w:color w:val="auto"/>
              </w:rPr>
              <w:t>0kV</w:t>
            </w:r>
            <w:r>
              <w:rPr>
                <w:rFonts w:hint="eastAsia" w:ascii="Times New Roman"/>
                <w:color w:val="auto"/>
              </w:rPr>
              <w:t>架空线路走廊两侧40</w:t>
            </w:r>
            <w:r>
              <w:rPr>
                <w:rFonts w:ascii="Times New Roman"/>
                <w:color w:val="auto"/>
              </w:rPr>
              <w:t>m</w:t>
            </w:r>
            <w:r>
              <w:rPr>
                <w:rFonts w:hint="eastAsia" w:ascii="Times New Roman"/>
                <w:color w:val="auto"/>
              </w:rPr>
              <w:t>带状区域内的民房等环境敏感点，主要声环境保护目标为22</w:t>
            </w:r>
            <w:r>
              <w:rPr>
                <w:rFonts w:ascii="Times New Roman"/>
                <w:color w:val="auto"/>
              </w:rPr>
              <w:t>0kV</w:t>
            </w:r>
            <w:r>
              <w:rPr>
                <w:rFonts w:hint="eastAsia" w:ascii="Times New Roman"/>
                <w:color w:val="auto"/>
              </w:rPr>
              <w:t>架空线路走廊两侧4</w:t>
            </w:r>
            <w:r>
              <w:rPr>
                <w:rFonts w:ascii="Times New Roman"/>
                <w:color w:val="auto"/>
              </w:rPr>
              <w:t>0m</w:t>
            </w:r>
            <w:r>
              <w:rPr>
                <w:rFonts w:hint="eastAsia" w:ascii="Times New Roman"/>
                <w:color w:val="auto"/>
              </w:rPr>
              <w:t>带状区域内的民房等环境敏感点，主要保护对象为人群。</w:t>
            </w:r>
          </w:p>
          <w:p>
            <w:pPr>
              <w:snapToGrid w:val="0"/>
              <w:spacing w:line="360" w:lineRule="auto"/>
              <w:ind w:firstLine="420" w:firstLineChars="200"/>
              <w:contextualSpacing/>
              <w:rPr>
                <w:rFonts w:hint="eastAsia" w:ascii="Times New Roman"/>
                <w:color w:val="auto"/>
              </w:rPr>
            </w:pPr>
            <w:r>
              <w:rPr>
                <w:rFonts w:ascii="Times New Roman"/>
                <w:color w:val="auto"/>
              </w:rPr>
              <w:t>经现场勘查，本工程评价范围内</w:t>
            </w:r>
            <w:r>
              <w:rPr>
                <w:rFonts w:hint="eastAsia" w:ascii="Times New Roman"/>
                <w:color w:val="auto"/>
                <w:lang w:eastAsia="zh-CN"/>
              </w:rPr>
              <w:t>电磁</w:t>
            </w:r>
            <w:r>
              <w:rPr>
                <w:rFonts w:ascii="Times New Roman"/>
                <w:color w:val="auto"/>
              </w:rPr>
              <w:t>环境</w:t>
            </w:r>
            <w:r>
              <w:rPr>
                <w:rFonts w:hint="eastAsia" w:ascii="Times New Roman"/>
                <w:color w:val="auto"/>
                <w:lang w:eastAsia="zh-CN"/>
              </w:rPr>
              <w:t>、声环境、生态环境、水环境</w:t>
            </w:r>
            <w:r>
              <w:rPr>
                <w:rFonts w:ascii="Times New Roman"/>
                <w:color w:val="auto"/>
              </w:rPr>
              <w:t>保护目标如表</w:t>
            </w:r>
            <w:r>
              <w:rPr>
                <w:rFonts w:hint="eastAsia" w:ascii="Times New Roman"/>
                <w:color w:val="auto"/>
              </w:rPr>
              <w:t>3-</w:t>
            </w:r>
            <w:r>
              <w:rPr>
                <w:rFonts w:hint="eastAsia" w:ascii="Times New Roman"/>
                <w:color w:val="auto"/>
                <w:lang w:val="en-US" w:eastAsia="zh-CN"/>
              </w:rPr>
              <w:t>3~表3-5</w:t>
            </w:r>
            <w:r>
              <w:rPr>
                <w:rFonts w:ascii="Times New Roman"/>
                <w:color w:val="auto"/>
              </w:rPr>
              <w:t>所示</w:t>
            </w:r>
            <w:r>
              <w:rPr>
                <w:rFonts w:hint="eastAsia" w:ascii="Times New Roman"/>
                <w:color w:val="auto"/>
              </w:rPr>
              <w:t>，其中“距离”是指环境保护目标与架空线路边导线的最近距离。</w:t>
            </w:r>
          </w:p>
          <w:p>
            <w:pPr>
              <w:pStyle w:val="23"/>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jc w:val="left"/>
              <w:textAlignment w:val="auto"/>
              <w:outlineLvl w:val="9"/>
              <w:rPr>
                <w:rFonts w:ascii="Times New Roman"/>
                <w:color w:val="auto"/>
                <w:sz w:val="21"/>
                <w:szCs w:val="21"/>
              </w:rPr>
            </w:pPr>
            <w:r>
              <w:rPr>
                <w:rFonts w:ascii="Times New Roman"/>
                <w:color w:val="auto"/>
                <w:sz w:val="21"/>
                <w:szCs w:val="21"/>
              </w:rPr>
              <w:t>（1）电磁环境及声环境保护目标</w:t>
            </w:r>
          </w:p>
          <w:p>
            <w:pPr>
              <w:pStyle w:val="23"/>
              <w:keepNext w:val="0"/>
              <w:keepLines w:val="0"/>
              <w:pageBreakBefore w:val="0"/>
              <w:widowControl w:val="0"/>
              <w:kinsoku/>
              <w:wordWrap/>
              <w:overflowPunct/>
              <w:topLinePunct w:val="0"/>
              <w:autoSpaceDE/>
              <w:autoSpaceDN/>
              <w:bidi w:val="0"/>
              <w:adjustRightInd/>
              <w:snapToGrid w:val="0"/>
              <w:spacing w:line="240" w:lineRule="auto"/>
              <w:ind w:firstLine="0"/>
              <w:contextualSpacing/>
              <w:jc w:val="center"/>
              <w:textAlignment w:val="auto"/>
              <w:outlineLvl w:val="9"/>
              <w:rPr>
                <w:rFonts w:ascii="Times New Roman"/>
                <w:b/>
                <w:bCs/>
                <w:color w:val="auto"/>
                <w:kern w:val="2"/>
                <w:sz w:val="21"/>
                <w:szCs w:val="21"/>
              </w:rPr>
            </w:pPr>
            <w:r>
              <w:rPr>
                <w:rFonts w:ascii="Times New Roman"/>
                <w:b/>
                <w:bCs/>
                <w:color w:val="auto"/>
                <w:kern w:val="2"/>
                <w:sz w:val="21"/>
                <w:szCs w:val="21"/>
              </w:rPr>
              <w:t>表3-</w:t>
            </w:r>
            <w:r>
              <w:rPr>
                <w:rFonts w:hint="eastAsia" w:ascii="Times New Roman"/>
                <w:b/>
                <w:bCs/>
                <w:color w:val="auto"/>
                <w:kern w:val="2"/>
                <w:sz w:val="21"/>
                <w:szCs w:val="21"/>
                <w:lang w:val="en-US" w:eastAsia="zh-CN"/>
              </w:rPr>
              <w:t>3</w:t>
            </w:r>
            <w:r>
              <w:rPr>
                <w:rFonts w:hint="eastAsia" w:ascii="Times New Roman"/>
                <w:b/>
                <w:bCs/>
                <w:color w:val="auto"/>
                <w:kern w:val="2"/>
                <w:sz w:val="21"/>
                <w:szCs w:val="21"/>
              </w:rPr>
              <w:t xml:space="preserve"> 本</w:t>
            </w:r>
            <w:r>
              <w:rPr>
                <w:rFonts w:ascii="Times New Roman"/>
                <w:b/>
                <w:bCs/>
                <w:color w:val="auto"/>
                <w:kern w:val="2"/>
                <w:sz w:val="21"/>
                <w:szCs w:val="21"/>
              </w:rPr>
              <w:t>工程主要环境保护目标一览表</w:t>
            </w:r>
          </w:p>
          <w:tbl>
            <w:tblPr>
              <w:tblStyle w:val="50"/>
              <w:tblW w:w="7352" w:type="dxa"/>
              <w:jc w:val="center"/>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453"/>
              <w:gridCol w:w="915"/>
              <w:gridCol w:w="1429"/>
              <w:gridCol w:w="1289"/>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277" w:type="dxa"/>
                  <w:vAlign w:val="center"/>
                </w:tcPr>
                <w:p>
                  <w:pPr>
                    <w:jc w:val="center"/>
                    <w:rPr>
                      <w:rFonts w:ascii="Times New Roman" w:hAnsi="Times New Roman"/>
                      <w:color w:val="auto"/>
                      <w:sz w:val="18"/>
                      <w:szCs w:val="18"/>
                    </w:rPr>
                  </w:pPr>
                  <w:r>
                    <w:rPr>
                      <w:rFonts w:ascii="Times New Roman" w:hAnsi="Times New Roman"/>
                      <w:color w:val="auto"/>
                      <w:sz w:val="18"/>
                      <w:szCs w:val="18"/>
                    </w:rPr>
                    <w:t>工程名称</w:t>
                  </w:r>
                </w:p>
              </w:tc>
              <w:tc>
                <w:tcPr>
                  <w:tcW w:w="1453" w:type="dxa"/>
                  <w:vAlign w:val="center"/>
                </w:tcPr>
                <w:p>
                  <w:pPr>
                    <w:jc w:val="center"/>
                    <w:rPr>
                      <w:rFonts w:ascii="Times New Roman" w:hAnsi="Times New Roman"/>
                      <w:color w:val="auto"/>
                      <w:sz w:val="18"/>
                      <w:szCs w:val="18"/>
                    </w:rPr>
                  </w:pPr>
                  <w:r>
                    <w:rPr>
                      <w:rFonts w:ascii="Times New Roman" w:hAnsi="Times New Roman"/>
                      <w:color w:val="auto"/>
                      <w:sz w:val="18"/>
                      <w:szCs w:val="18"/>
                    </w:rPr>
                    <w:t>环境保护目标</w:t>
                  </w:r>
                </w:p>
              </w:tc>
              <w:tc>
                <w:tcPr>
                  <w:tcW w:w="915" w:type="dxa"/>
                  <w:vAlign w:val="center"/>
                </w:tcPr>
                <w:p>
                  <w:pPr>
                    <w:jc w:val="center"/>
                    <w:rPr>
                      <w:rFonts w:ascii="Times New Roman" w:hAnsi="Times New Roman"/>
                      <w:color w:val="auto"/>
                      <w:sz w:val="18"/>
                      <w:szCs w:val="18"/>
                    </w:rPr>
                  </w:pPr>
                  <w:r>
                    <w:rPr>
                      <w:rFonts w:ascii="Times New Roman" w:hAnsi="Times New Roman"/>
                      <w:color w:val="auto"/>
                      <w:sz w:val="18"/>
                      <w:szCs w:val="18"/>
                    </w:rPr>
                    <w:t>性质</w:t>
                  </w:r>
                </w:p>
              </w:tc>
              <w:tc>
                <w:tcPr>
                  <w:tcW w:w="1429" w:type="dxa"/>
                  <w:vAlign w:val="center"/>
                </w:tcPr>
                <w:p>
                  <w:pPr>
                    <w:jc w:val="center"/>
                    <w:rPr>
                      <w:rFonts w:ascii="Times New Roman" w:hAnsi="Times New Roman"/>
                      <w:color w:val="auto"/>
                      <w:sz w:val="18"/>
                      <w:szCs w:val="18"/>
                    </w:rPr>
                  </w:pPr>
                  <w:r>
                    <w:rPr>
                      <w:rFonts w:ascii="Times New Roman" w:hAnsi="Times New Roman"/>
                      <w:color w:val="auto"/>
                      <w:sz w:val="18"/>
                      <w:szCs w:val="18"/>
                    </w:rPr>
                    <w:t>最近位置及距离</w:t>
                  </w:r>
                </w:p>
              </w:tc>
              <w:tc>
                <w:tcPr>
                  <w:tcW w:w="1289" w:type="dxa"/>
                  <w:vAlign w:val="center"/>
                </w:tcPr>
                <w:p>
                  <w:pPr>
                    <w:jc w:val="center"/>
                    <w:rPr>
                      <w:rFonts w:ascii="Times New Roman" w:hAnsi="Times New Roman"/>
                      <w:color w:val="auto"/>
                      <w:sz w:val="18"/>
                      <w:szCs w:val="18"/>
                    </w:rPr>
                  </w:pPr>
                  <w:r>
                    <w:rPr>
                      <w:rFonts w:ascii="Times New Roman" w:hAnsi="Times New Roman"/>
                      <w:color w:val="auto"/>
                      <w:sz w:val="18"/>
                      <w:szCs w:val="18"/>
                    </w:rPr>
                    <w:t>评价范围内</w:t>
                  </w:r>
                  <w:r>
                    <w:rPr>
                      <w:rFonts w:hint="eastAsia" w:ascii="Times New Roman" w:hAnsi="Times New Roman"/>
                      <w:color w:val="auto"/>
                      <w:sz w:val="18"/>
                      <w:szCs w:val="18"/>
                    </w:rPr>
                    <w:t>环境保护</w:t>
                  </w:r>
                  <w:r>
                    <w:rPr>
                      <w:rFonts w:ascii="Times New Roman" w:hAnsi="Times New Roman"/>
                      <w:color w:val="auto"/>
                      <w:sz w:val="18"/>
                      <w:szCs w:val="18"/>
                    </w:rPr>
                    <w:t>目标</w:t>
                  </w:r>
                  <w:r>
                    <w:rPr>
                      <w:rFonts w:hint="eastAsia" w:ascii="Times New Roman" w:hAnsi="Times New Roman"/>
                      <w:color w:val="auto"/>
                      <w:sz w:val="18"/>
                      <w:szCs w:val="18"/>
                    </w:rPr>
                    <w:t>情况</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可能的环境影响因素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restart"/>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文昌气电π接220kV玉洲至江东线路新建工程</w:t>
                  </w:r>
                </w:p>
              </w:tc>
              <w:tc>
                <w:tcPr>
                  <w:tcW w:w="1453"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文昌市东路镇东路村</w:t>
                  </w: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在建民房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w:t>
                  </w:r>
                  <w:r>
                    <w:rPr>
                      <w:rFonts w:hint="eastAsia" w:ascii="Times New Roman" w:hAnsi="Times New Roman"/>
                      <w:color w:val="auto"/>
                      <w:sz w:val="18"/>
                      <w:szCs w:val="18"/>
                    </w:rPr>
                    <w:t>北侧约</w:t>
                  </w:r>
                  <w:r>
                    <w:rPr>
                      <w:rFonts w:hint="eastAsia" w:ascii="Times New Roman" w:hAnsi="Times New Roman"/>
                      <w:color w:val="auto"/>
                      <w:sz w:val="18"/>
                      <w:szCs w:val="18"/>
                      <w:lang w:val="en-US" w:eastAsia="zh-CN"/>
                    </w:rPr>
                    <w:t>36</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val="en-US" w:eastAsia="zh-CN"/>
                    </w:rPr>
                    <w:t>在建，1间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文昌市东路镇雨坛</w:t>
                  </w:r>
                  <w:r>
                    <w:rPr>
                      <w:rFonts w:hint="eastAsia" w:ascii="Times New Roman" w:hAnsi="Times New Roman"/>
                      <w:color w:val="auto"/>
                      <w:sz w:val="18"/>
                      <w:szCs w:val="18"/>
                    </w:rPr>
                    <w:t>村</w:t>
                  </w: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闲置的民</w:t>
                  </w:r>
                  <w:r>
                    <w:rPr>
                      <w:rFonts w:hint="eastAsia" w:ascii="Times New Roman" w:hAnsi="Times New Roman"/>
                      <w:color w:val="auto"/>
                      <w:sz w:val="18"/>
                      <w:szCs w:val="18"/>
                    </w:rPr>
                    <w:t>房</w:t>
                  </w:r>
                  <w:r>
                    <w:rPr>
                      <w:rFonts w:hint="eastAsia" w:ascii="Times New Roman" w:hAnsi="Times New Roman"/>
                      <w:color w:val="auto"/>
                      <w:sz w:val="18"/>
                      <w:szCs w:val="18"/>
                      <w:lang w:eastAsia="zh-CN"/>
                    </w:rPr>
                    <w:t>及养猪棚</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拟建线路西</w:t>
                  </w:r>
                  <w:r>
                    <w:rPr>
                      <w:rFonts w:hint="eastAsia" w:ascii="Times New Roman" w:hAnsi="Times New Roman"/>
                      <w:color w:val="auto"/>
                      <w:sz w:val="18"/>
                      <w:szCs w:val="18"/>
                      <w:lang w:eastAsia="zh-CN"/>
                    </w:rPr>
                    <w:t>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25~40</w:t>
                  </w:r>
                  <w:r>
                    <w:rPr>
                      <w:rFonts w:hint="eastAsia" w:ascii="Times New Roman" w:hAnsi="Times New Roman"/>
                      <w:color w:val="auto"/>
                      <w:sz w:val="18"/>
                      <w:szCs w:val="18"/>
                    </w:rPr>
                    <w:t>m处</w:t>
                  </w:r>
                </w:p>
              </w:tc>
              <w:tc>
                <w:tcPr>
                  <w:tcW w:w="1289" w:type="dxa"/>
                  <w:vAlign w:val="center"/>
                </w:tcPr>
                <w:p>
                  <w:pPr>
                    <w:jc w:val="center"/>
                    <w:rPr>
                      <w:rFonts w:ascii="Times New Roman" w:hAnsi="Times New Roman"/>
                      <w:color w:val="auto"/>
                      <w:sz w:val="18"/>
                      <w:szCs w:val="18"/>
                    </w:rPr>
                  </w:pPr>
                  <w:r>
                    <w:rPr>
                      <w:rFonts w:hint="eastAsia" w:ascii="Times New Roman" w:hAnsi="Times New Roman"/>
                      <w:color w:val="auto"/>
                      <w:sz w:val="18"/>
                      <w:szCs w:val="18"/>
                    </w:rPr>
                    <w:t>1层尖</w:t>
                  </w:r>
                  <w:r>
                    <w:rPr>
                      <w:rFonts w:hint="eastAsia" w:ascii="Times New Roman" w:hAnsi="Times New Roman"/>
                      <w:color w:val="auto"/>
                      <w:sz w:val="18"/>
                      <w:szCs w:val="18"/>
                      <w:lang w:val="en-US" w:eastAsia="zh-CN"/>
                    </w:rPr>
                    <w:t>、平</w:t>
                  </w:r>
                  <w:r>
                    <w:rPr>
                      <w:rFonts w:hint="eastAsia" w:ascii="Times New Roman" w:hAnsi="Times New Roman"/>
                      <w:color w:val="auto"/>
                      <w:sz w:val="18"/>
                      <w:szCs w:val="18"/>
                    </w:rPr>
                    <w:t>顶，</w:t>
                  </w:r>
                  <w:r>
                    <w:rPr>
                      <w:rFonts w:hint="eastAsia" w:ascii="Times New Roman" w:hAnsi="Times New Roman"/>
                      <w:color w:val="auto"/>
                      <w:sz w:val="18"/>
                      <w:szCs w:val="18"/>
                      <w:lang w:eastAsia="zh-CN"/>
                    </w:rPr>
                    <w:t>约</w:t>
                  </w:r>
                  <w:r>
                    <w:rPr>
                      <w:rFonts w:hint="eastAsia" w:ascii="Times New Roman" w:hAnsi="Times New Roman"/>
                      <w:color w:val="auto"/>
                      <w:sz w:val="18"/>
                      <w:szCs w:val="18"/>
                      <w:lang w:val="en-US" w:eastAsia="zh-CN"/>
                    </w:rPr>
                    <w:t>3</w:t>
                  </w:r>
                  <w:r>
                    <w:rPr>
                      <w:rFonts w:ascii="Times New Roman" w:hAnsi="Times New Roman"/>
                      <w:color w:val="auto"/>
                      <w:sz w:val="18"/>
                      <w:szCs w:val="18"/>
                    </w:rPr>
                    <w:t>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restart"/>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文昌市东路镇打银村</w:t>
                  </w: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养鸭</w:t>
                  </w:r>
                  <w:r>
                    <w:rPr>
                      <w:rFonts w:hint="eastAsia" w:ascii="Times New Roman" w:hAnsi="Times New Roman"/>
                      <w:color w:val="auto"/>
                      <w:sz w:val="18"/>
                      <w:szCs w:val="18"/>
                    </w:rPr>
                    <w:t>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35</w:t>
                  </w:r>
                  <w:r>
                    <w:rPr>
                      <w:rFonts w:hint="eastAsia" w:ascii="Times New Roman" w:hAnsi="Times New Roman"/>
                      <w:color w:val="auto"/>
                      <w:sz w:val="18"/>
                      <w:szCs w:val="18"/>
                    </w:rPr>
                    <w:t>m处</w:t>
                  </w:r>
                </w:p>
              </w:tc>
              <w:tc>
                <w:tcPr>
                  <w:tcW w:w="1289" w:type="dxa"/>
                  <w:vAlign w:val="center"/>
                </w:tcPr>
                <w:p>
                  <w:pPr>
                    <w:jc w:val="center"/>
                    <w:rPr>
                      <w:rFonts w:ascii="Times New Roman" w:hAnsi="Times New Roman"/>
                      <w:color w:val="auto"/>
                      <w:sz w:val="18"/>
                      <w:szCs w:val="18"/>
                    </w:rPr>
                  </w:pPr>
                  <w:r>
                    <w:rPr>
                      <w:rFonts w:hint="eastAsia" w:ascii="Times New Roman" w:hAnsi="Times New Roman"/>
                      <w:color w:val="auto"/>
                      <w:sz w:val="18"/>
                      <w:szCs w:val="18"/>
                    </w:rPr>
                    <w:t>1层尖顶，</w:t>
                  </w:r>
                  <w:r>
                    <w:rPr>
                      <w:rFonts w:hint="eastAsia" w:ascii="Times New Roman" w:hAnsi="Times New Roman"/>
                      <w:color w:val="auto"/>
                      <w:sz w:val="18"/>
                      <w:szCs w:val="18"/>
                      <w:lang w:val="en-US" w:eastAsia="zh-CN"/>
                    </w:rPr>
                    <w:t>2</w:t>
                  </w:r>
                  <w:r>
                    <w:rPr>
                      <w:rFonts w:ascii="Times New Roman" w:hAnsi="Times New Roman"/>
                      <w:color w:val="auto"/>
                      <w:sz w:val="18"/>
                      <w:szCs w:val="18"/>
                    </w:rPr>
                    <w:t>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lang w:eastAsia="zh-CN"/>
                    </w:rPr>
                  </w:pPr>
                </w:p>
              </w:tc>
              <w:tc>
                <w:tcPr>
                  <w:tcW w:w="915" w:type="dxa"/>
                  <w:vAlign w:val="center"/>
                </w:tcPr>
                <w:p>
                  <w:pPr>
                    <w:jc w:val="center"/>
                    <w:rPr>
                      <w:rFonts w:hint="eastAsia" w:ascii="Times New Roman" w:hAnsi="Times New Roman"/>
                      <w:color w:val="auto"/>
                      <w:sz w:val="18"/>
                      <w:szCs w:val="18"/>
                      <w:lang w:eastAsia="zh-CN"/>
                    </w:rPr>
                  </w:pPr>
                  <w:r>
                    <w:rPr>
                      <w:rFonts w:hint="eastAsia" w:ascii="Times New Roman" w:hAnsi="Times New Roman"/>
                      <w:color w:val="auto"/>
                      <w:sz w:val="18"/>
                      <w:szCs w:val="18"/>
                      <w:lang w:eastAsia="zh-CN"/>
                    </w:rPr>
                    <w:t>养殖看护房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w:t>
                  </w:r>
                </w:p>
              </w:tc>
              <w:tc>
                <w:tcPr>
                  <w:tcW w:w="1289" w:type="dxa"/>
                  <w:vMerge w:val="restart"/>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1层平、圆顶，3间</w:t>
                  </w:r>
                </w:p>
              </w:tc>
              <w:tc>
                <w:tcPr>
                  <w:tcW w:w="989" w:type="dxa"/>
                  <w:vMerge w:val="restart"/>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lang w:eastAsia="zh-CN"/>
                    </w:rPr>
                  </w:pPr>
                </w:p>
              </w:tc>
              <w:tc>
                <w:tcPr>
                  <w:tcW w:w="915" w:type="dxa"/>
                  <w:vAlign w:val="center"/>
                </w:tcPr>
                <w:p>
                  <w:pPr>
                    <w:jc w:val="center"/>
                    <w:rPr>
                      <w:rFonts w:hint="eastAsia" w:ascii="Times New Roman" w:hAnsi="Times New Roman"/>
                      <w:color w:val="auto"/>
                      <w:sz w:val="18"/>
                      <w:szCs w:val="18"/>
                      <w:lang w:eastAsia="zh-CN"/>
                    </w:rPr>
                  </w:pPr>
                  <w:r>
                    <w:rPr>
                      <w:rFonts w:hint="eastAsia" w:ascii="Times New Roman" w:hAnsi="Times New Roman"/>
                      <w:color w:val="auto"/>
                      <w:sz w:val="18"/>
                      <w:szCs w:val="18"/>
                      <w:lang w:eastAsia="zh-CN"/>
                    </w:rPr>
                    <w:t>养殖棚</w:t>
                  </w:r>
                </w:p>
              </w:tc>
              <w:tc>
                <w:tcPr>
                  <w:tcW w:w="1429" w:type="dxa"/>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eastAsia="zh-CN"/>
                    </w:rPr>
                    <w:t>拟建线路西南侧约</w:t>
                  </w:r>
                  <w:r>
                    <w:rPr>
                      <w:rFonts w:hint="eastAsia" w:ascii="Times New Roman" w:hAnsi="Times New Roman"/>
                      <w:color w:val="auto"/>
                      <w:sz w:val="18"/>
                      <w:szCs w:val="18"/>
                      <w:lang w:val="en-US" w:eastAsia="zh-CN"/>
                    </w:rPr>
                    <w:t>10m处</w:t>
                  </w:r>
                </w:p>
              </w:tc>
              <w:tc>
                <w:tcPr>
                  <w:tcW w:w="1289" w:type="dxa"/>
                  <w:vMerge w:val="continue"/>
                  <w:vAlign w:val="center"/>
                </w:tcPr>
                <w:p>
                  <w:pPr>
                    <w:jc w:val="center"/>
                    <w:rPr>
                      <w:rFonts w:hint="eastAsia" w:ascii="Times New Roman" w:hAnsi="Times New Roman"/>
                      <w:color w:val="auto"/>
                      <w:sz w:val="18"/>
                      <w:szCs w:val="18"/>
                      <w:lang w:val="en-US" w:eastAsia="zh-CN"/>
                    </w:rPr>
                  </w:pPr>
                </w:p>
              </w:tc>
              <w:tc>
                <w:tcPr>
                  <w:tcW w:w="989" w:type="dxa"/>
                  <w:vMerge w:val="continue"/>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看护房及养殖棚</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拟建线路西</w:t>
                  </w:r>
                  <w:r>
                    <w:rPr>
                      <w:rFonts w:hint="eastAsia" w:ascii="Times New Roman" w:hAnsi="Times New Roman"/>
                      <w:color w:val="auto"/>
                      <w:sz w:val="18"/>
                      <w:szCs w:val="18"/>
                      <w:lang w:eastAsia="zh-CN"/>
                    </w:rPr>
                    <w:t>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30~40</w:t>
                  </w:r>
                  <w:r>
                    <w:rPr>
                      <w:rFonts w:hint="eastAsia" w:ascii="Times New Roman" w:hAnsi="Times New Roman"/>
                      <w:color w:val="auto"/>
                      <w:sz w:val="18"/>
                      <w:szCs w:val="18"/>
                    </w:rPr>
                    <w:t>m处</w:t>
                  </w:r>
                </w:p>
              </w:tc>
              <w:tc>
                <w:tcPr>
                  <w:tcW w:w="1289" w:type="dxa"/>
                  <w:vMerge w:val="restart"/>
                  <w:vAlign w:val="center"/>
                </w:tcPr>
                <w:p>
                  <w:pPr>
                    <w:jc w:val="center"/>
                    <w:rPr>
                      <w:rFonts w:hint="default" w:ascii="Times New Roman" w:hAnsi="Times New Roman" w:eastAsia="宋体"/>
                      <w:color w:val="auto"/>
                      <w:sz w:val="18"/>
                      <w:szCs w:val="18"/>
                      <w:lang w:val="en-US" w:eastAsia="zh-CN"/>
                    </w:rPr>
                  </w:pPr>
                  <w:r>
                    <w:rPr>
                      <w:rFonts w:ascii="Times New Roman" w:hAnsi="Times New Roman"/>
                      <w:color w:val="auto"/>
                      <w:sz w:val="18"/>
                      <w:szCs w:val="18"/>
                    </w:rPr>
                    <w:t>1层</w:t>
                  </w:r>
                  <w:r>
                    <w:rPr>
                      <w:rFonts w:hint="eastAsia" w:ascii="Times New Roman" w:hAnsi="Times New Roman"/>
                      <w:color w:val="auto"/>
                      <w:sz w:val="18"/>
                      <w:szCs w:val="18"/>
                    </w:rPr>
                    <w:t>尖</w:t>
                  </w:r>
                  <w:r>
                    <w:rPr>
                      <w:rFonts w:hint="eastAsia" w:ascii="Times New Roman" w:hAnsi="Times New Roman"/>
                      <w:color w:val="auto"/>
                      <w:sz w:val="18"/>
                      <w:szCs w:val="18"/>
                      <w:lang w:eastAsia="zh-CN"/>
                    </w:rPr>
                    <w:t>、圆</w:t>
                  </w:r>
                  <w:r>
                    <w:rPr>
                      <w:rFonts w:ascii="Times New Roman" w:hAnsi="Times New Roman"/>
                      <w:color w:val="auto"/>
                      <w:sz w:val="18"/>
                      <w:szCs w:val="18"/>
                    </w:rPr>
                    <w:t>顶，</w:t>
                  </w:r>
                  <w:r>
                    <w:rPr>
                      <w:rFonts w:hint="eastAsia" w:ascii="Times New Roman" w:hAnsi="Times New Roman"/>
                      <w:color w:val="auto"/>
                      <w:sz w:val="18"/>
                      <w:szCs w:val="18"/>
                      <w:lang w:val="en-US" w:eastAsia="zh-CN"/>
                    </w:rPr>
                    <w:t>约5间</w:t>
                  </w:r>
                </w:p>
              </w:tc>
              <w:tc>
                <w:tcPr>
                  <w:tcW w:w="989" w:type="dxa"/>
                  <w:vMerge w:val="restart"/>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lang w:eastAsia="zh-CN"/>
                    </w:rPr>
                  </w:pPr>
                </w:p>
              </w:tc>
              <w:tc>
                <w:tcPr>
                  <w:tcW w:w="915" w:type="dxa"/>
                  <w:vAlign w:val="center"/>
                </w:tcPr>
                <w:p>
                  <w:pPr>
                    <w:jc w:val="center"/>
                    <w:rPr>
                      <w:rFonts w:hint="eastAsia" w:ascii="Times New Roman" w:hAnsi="Times New Roman"/>
                      <w:color w:val="auto"/>
                      <w:sz w:val="18"/>
                      <w:szCs w:val="18"/>
                      <w:lang w:eastAsia="zh-CN"/>
                    </w:rPr>
                  </w:pPr>
                  <w:r>
                    <w:rPr>
                      <w:rFonts w:hint="eastAsia" w:ascii="Times New Roman" w:hAnsi="Times New Roman"/>
                      <w:color w:val="auto"/>
                      <w:sz w:val="18"/>
                      <w:szCs w:val="18"/>
                      <w:lang w:eastAsia="zh-CN"/>
                    </w:rPr>
                    <w:t>养殖棚</w:t>
                  </w:r>
                </w:p>
              </w:tc>
              <w:tc>
                <w:tcPr>
                  <w:tcW w:w="1429"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w:t>
                  </w:r>
                </w:p>
              </w:tc>
              <w:tc>
                <w:tcPr>
                  <w:tcW w:w="1289" w:type="dxa"/>
                  <w:vMerge w:val="continue"/>
                  <w:vAlign w:val="center"/>
                </w:tcPr>
                <w:p>
                  <w:pPr>
                    <w:jc w:val="center"/>
                    <w:rPr>
                      <w:rFonts w:hint="default" w:ascii="Times New Roman" w:hAnsi="Times New Roman" w:eastAsia="宋体"/>
                      <w:color w:val="auto"/>
                      <w:sz w:val="18"/>
                      <w:szCs w:val="18"/>
                      <w:lang w:val="en-US" w:eastAsia="zh-CN"/>
                    </w:rPr>
                  </w:pPr>
                </w:p>
              </w:tc>
              <w:tc>
                <w:tcPr>
                  <w:tcW w:w="989" w:type="dxa"/>
                  <w:vMerge w:val="continue"/>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restart"/>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文昌市东路镇</w:t>
                  </w: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龙泉乡园共享农庄</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拟建线路西</w:t>
                  </w:r>
                  <w:r>
                    <w:rPr>
                      <w:rFonts w:hint="eastAsia" w:ascii="Times New Roman" w:hAnsi="Times New Roman"/>
                      <w:color w:val="auto"/>
                      <w:sz w:val="18"/>
                      <w:szCs w:val="18"/>
                      <w:lang w:eastAsia="zh-CN"/>
                    </w:rPr>
                    <w:t>南</w:t>
                  </w:r>
                  <w:r>
                    <w:rPr>
                      <w:rFonts w:hint="eastAsia" w:ascii="Times New Roman" w:hAnsi="Times New Roman"/>
                      <w:color w:val="auto"/>
                      <w:sz w:val="18"/>
                      <w:szCs w:val="18"/>
                    </w:rPr>
                    <w:t>侧约15</w:t>
                  </w:r>
                  <w:r>
                    <w:rPr>
                      <w:rFonts w:hint="eastAsia" w:ascii="Times New Roman" w:hAnsi="Times New Roman"/>
                      <w:color w:val="auto"/>
                      <w:sz w:val="18"/>
                      <w:szCs w:val="18"/>
                      <w:lang w:val="en-US" w:eastAsia="zh-CN"/>
                    </w:rPr>
                    <w:t>~40</w:t>
                  </w:r>
                  <w:r>
                    <w:rPr>
                      <w:rFonts w:hint="eastAsia" w:ascii="Times New Roman" w:hAnsi="Times New Roman"/>
                      <w:color w:val="auto"/>
                      <w:sz w:val="18"/>
                      <w:szCs w:val="18"/>
                    </w:rPr>
                    <w:t>m处</w:t>
                  </w:r>
                </w:p>
              </w:tc>
              <w:tc>
                <w:tcPr>
                  <w:tcW w:w="1289" w:type="dxa"/>
                  <w:vAlign w:val="center"/>
                </w:tcPr>
                <w:p>
                  <w:pPr>
                    <w:jc w:val="center"/>
                    <w:rPr>
                      <w:rFonts w:ascii="Times New Roman" w:hAnsi="Times New Roman"/>
                      <w:color w:val="auto"/>
                      <w:sz w:val="18"/>
                      <w:szCs w:val="18"/>
                    </w:rPr>
                  </w:pPr>
                  <w:r>
                    <w:rPr>
                      <w:rFonts w:hint="eastAsia" w:ascii="Times New Roman" w:hAnsi="Times New Roman"/>
                      <w:color w:val="auto"/>
                      <w:sz w:val="18"/>
                      <w:szCs w:val="18"/>
                    </w:rPr>
                    <w:t>1</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层</w:t>
                  </w:r>
                  <w:r>
                    <w:rPr>
                      <w:rFonts w:hint="eastAsia" w:ascii="Times New Roman" w:hAnsi="Times New Roman"/>
                      <w:color w:val="auto"/>
                      <w:sz w:val="18"/>
                      <w:szCs w:val="18"/>
                      <w:lang w:eastAsia="zh-CN"/>
                    </w:rPr>
                    <w:t>尖、</w:t>
                  </w:r>
                  <w:r>
                    <w:rPr>
                      <w:rFonts w:hint="eastAsia" w:ascii="Times New Roman" w:hAnsi="Times New Roman"/>
                      <w:color w:val="auto"/>
                      <w:sz w:val="18"/>
                      <w:szCs w:val="18"/>
                    </w:rPr>
                    <w:t>平顶，</w:t>
                  </w:r>
                  <w:r>
                    <w:rPr>
                      <w:rFonts w:hint="eastAsia" w:ascii="Times New Roman" w:hAnsi="Times New Roman"/>
                      <w:color w:val="auto"/>
                      <w:sz w:val="18"/>
                      <w:szCs w:val="18"/>
                      <w:lang w:val="en-US" w:eastAsia="zh-CN"/>
                    </w:rPr>
                    <w:t>4</w:t>
                  </w:r>
                  <w:r>
                    <w:rPr>
                      <w:rFonts w:hint="eastAsia" w:ascii="Times New Roman" w:hAnsi="Times New Roman"/>
                      <w:color w:val="auto"/>
                      <w:sz w:val="18"/>
                      <w:szCs w:val="18"/>
                    </w:rPr>
                    <w:t>间</w:t>
                  </w:r>
                </w:p>
              </w:tc>
              <w:tc>
                <w:tcPr>
                  <w:tcW w:w="989" w:type="dxa"/>
                  <w:vMerge w:val="restart"/>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lang w:eastAsia="zh-CN"/>
                    </w:rPr>
                  </w:pP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恒佳建材商行商铺及仓库</w:t>
                  </w:r>
                </w:p>
              </w:tc>
              <w:tc>
                <w:tcPr>
                  <w:tcW w:w="1429" w:type="dxa"/>
                  <w:vMerge w:val="restart"/>
                  <w:vAlign w:val="center"/>
                </w:tcPr>
                <w:p>
                  <w:pPr>
                    <w:jc w:val="center"/>
                    <w:rPr>
                      <w:rFonts w:hint="default" w:ascii="Times New Roman" w:hAnsi="Times New Roman"/>
                      <w:color w:val="auto"/>
                      <w:sz w:val="18"/>
                      <w:szCs w:val="18"/>
                      <w:lang w:val="en-US"/>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2~40</w:t>
                  </w:r>
                  <w:r>
                    <w:rPr>
                      <w:rFonts w:hint="eastAsia" w:ascii="Times New Roman" w:hAnsi="Times New Roman"/>
                      <w:color w:val="auto"/>
                      <w:sz w:val="18"/>
                      <w:szCs w:val="18"/>
                    </w:rPr>
                    <w:t>m处</w:t>
                  </w:r>
                  <w:r>
                    <w:rPr>
                      <w:rFonts w:hint="eastAsia" w:ascii="Times New Roman" w:hAnsi="Times New Roman"/>
                      <w:color w:val="auto"/>
                      <w:sz w:val="18"/>
                      <w:szCs w:val="18"/>
                      <w:lang w:eastAsia="zh-CN"/>
                    </w:rPr>
                    <w:t>、西南侧约</w:t>
                  </w:r>
                  <w:r>
                    <w:rPr>
                      <w:rFonts w:hint="eastAsia" w:ascii="Times New Roman" w:hAnsi="Times New Roman"/>
                      <w:color w:val="auto"/>
                      <w:sz w:val="18"/>
                      <w:szCs w:val="18"/>
                      <w:lang w:val="en-US" w:eastAsia="zh-CN"/>
                    </w:rPr>
                    <w:t>12~40m</w:t>
                  </w:r>
                </w:p>
              </w:tc>
              <w:tc>
                <w:tcPr>
                  <w:tcW w:w="1289" w:type="dxa"/>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1层尖、平顶，约7间</w:t>
                  </w:r>
                </w:p>
              </w:tc>
              <w:tc>
                <w:tcPr>
                  <w:tcW w:w="989" w:type="dxa"/>
                  <w:vMerge w:val="continue"/>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lang w:eastAsia="zh-CN"/>
                    </w:rPr>
                  </w:pPr>
                </w:p>
              </w:tc>
              <w:tc>
                <w:tcPr>
                  <w:tcW w:w="915" w:type="dxa"/>
                  <w:vAlign w:val="center"/>
                </w:tcPr>
                <w:p>
                  <w:pPr>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农资店及彩钢房、平</w:t>
                  </w:r>
                </w:p>
              </w:tc>
              <w:tc>
                <w:tcPr>
                  <w:tcW w:w="1429" w:type="dxa"/>
                  <w:vMerge w:val="continue"/>
                  <w:vAlign w:val="center"/>
                </w:tcPr>
                <w:p>
                  <w:pPr>
                    <w:jc w:val="center"/>
                    <w:rPr>
                      <w:rFonts w:hint="eastAsia" w:ascii="Times New Roman" w:hAnsi="Times New Roman"/>
                      <w:color w:val="auto"/>
                      <w:sz w:val="18"/>
                      <w:szCs w:val="18"/>
                    </w:rPr>
                  </w:pP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1层尖、平顶，5间</w:t>
                  </w:r>
                </w:p>
              </w:tc>
              <w:tc>
                <w:tcPr>
                  <w:tcW w:w="989" w:type="dxa"/>
                  <w:vMerge w:val="continue"/>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海口市美兰区大致坡镇堆边山村</w:t>
                  </w: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rPr>
                    <w:t>民房</w:t>
                  </w:r>
                  <w:r>
                    <w:rPr>
                      <w:rFonts w:hint="eastAsia" w:ascii="Times New Roman" w:hAnsi="Times New Roman"/>
                      <w:color w:val="auto"/>
                      <w:sz w:val="18"/>
                      <w:szCs w:val="18"/>
                      <w:lang w:eastAsia="zh-CN"/>
                    </w:rPr>
                    <w:t>及棚</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12~</w:t>
                  </w:r>
                  <w:r>
                    <w:rPr>
                      <w:rFonts w:hint="eastAsia" w:ascii="Times New Roman" w:hAnsi="Times New Roman"/>
                      <w:color w:val="auto"/>
                      <w:sz w:val="18"/>
                      <w:szCs w:val="18"/>
                    </w:rPr>
                    <w:t>40m处</w:t>
                  </w:r>
                </w:p>
              </w:tc>
              <w:tc>
                <w:tcPr>
                  <w:tcW w:w="1289" w:type="dxa"/>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rPr>
                    <w:t>1层尖</w:t>
                  </w:r>
                  <w:r>
                    <w:rPr>
                      <w:rFonts w:hint="eastAsia" w:ascii="Times New Roman" w:hAnsi="Times New Roman"/>
                      <w:color w:val="auto"/>
                      <w:sz w:val="18"/>
                      <w:szCs w:val="18"/>
                      <w:lang w:eastAsia="zh-CN"/>
                    </w:rPr>
                    <w:t>、平</w:t>
                  </w:r>
                  <w:r>
                    <w:rPr>
                      <w:rFonts w:hint="eastAsia" w:ascii="Times New Roman" w:hAnsi="Times New Roman"/>
                      <w:color w:val="auto"/>
                      <w:sz w:val="18"/>
                      <w:szCs w:val="18"/>
                    </w:rPr>
                    <w:t>顶，</w:t>
                  </w:r>
                  <w:r>
                    <w:rPr>
                      <w:rFonts w:hint="eastAsia" w:ascii="Times New Roman" w:hAnsi="Times New Roman"/>
                      <w:color w:val="auto"/>
                      <w:sz w:val="18"/>
                      <w:szCs w:val="18"/>
                      <w:lang w:val="en-US" w:eastAsia="zh-CN"/>
                    </w:rPr>
                    <w:t>2户约4间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海口市美兰区大致坡镇栽群村</w:t>
                  </w:r>
                </w:p>
              </w:tc>
              <w:tc>
                <w:tcPr>
                  <w:tcW w:w="91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0m处</w:t>
                  </w:r>
                </w:p>
              </w:tc>
              <w:tc>
                <w:tcPr>
                  <w:tcW w:w="1289" w:type="dxa"/>
                  <w:vAlign w:val="center"/>
                </w:tcPr>
                <w:p>
                  <w:pPr>
                    <w:jc w:val="center"/>
                    <w:rPr>
                      <w:rFonts w:ascii="Times New Roman" w:hAnsi="Times New Roman"/>
                      <w:color w:val="auto"/>
                      <w:sz w:val="18"/>
                      <w:szCs w:val="18"/>
                    </w:rPr>
                  </w:pPr>
                  <w:r>
                    <w:rPr>
                      <w:rFonts w:hint="eastAsia" w:ascii="Times New Roman" w:hAnsi="Times New Roman"/>
                      <w:color w:val="auto"/>
                      <w:sz w:val="18"/>
                      <w:szCs w:val="18"/>
                    </w:rPr>
                    <w:t>1层</w:t>
                  </w:r>
                  <w:r>
                    <w:rPr>
                      <w:rFonts w:hint="eastAsia" w:ascii="Times New Roman" w:hAnsi="Times New Roman"/>
                      <w:color w:val="auto"/>
                      <w:sz w:val="18"/>
                      <w:szCs w:val="18"/>
                      <w:lang w:eastAsia="zh-CN"/>
                    </w:rPr>
                    <w:t>平</w:t>
                  </w:r>
                  <w:r>
                    <w:rPr>
                      <w:rFonts w:hint="eastAsia" w:ascii="Times New Roman" w:hAnsi="Times New Roman"/>
                      <w:color w:val="auto"/>
                      <w:sz w:val="18"/>
                      <w:szCs w:val="18"/>
                    </w:rPr>
                    <w:t>顶，1间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restart"/>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海口市美兰区大致坡镇乐群村</w:t>
                  </w:r>
                </w:p>
              </w:tc>
              <w:tc>
                <w:tcPr>
                  <w:tcW w:w="915" w:type="dxa"/>
                  <w:vMerge w:val="restart"/>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10</w:t>
                  </w:r>
                  <w:r>
                    <w:rPr>
                      <w:rFonts w:hint="eastAsia" w:ascii="Times New Roman" w:hAnsi="Times New Roman"/>
                      <w:color w:val="auto"/>
                      <w:sz w:val="18"/>
                      <w:szCs w:val="18"/>
                    </w:rPr>
                    <w:t>m处</w:t>
                  </w:r>
                </w:p>
              </w:tc>
              <w:tc>
                <w:tcPr>
                  <w:tcW w:w="1289" w:type="dxa"/>
                  <w:vMerge w:val="restart"/>
                  <w:vAlign w:val="center"/>
                </w:tcPr>
                <w:p>
                  <w:pPr>
                    <w:jc w:val="center"/>
                    <w:rPr>
                      <w:rFonts w:ascii="Times New Roman" w:hAnsi="Times New Roman"/>
                      <w:color w:val="auto"/>
                      <w:sz w:val="18"/>
                      <w:szCs w:val="18"/>
                    </w:rPr>
                  </w:pPr>
                  <w:r>
                    <w:rPr>
                      <w:rFonts w:hint="eastAsia" w:ascii="Times New Roman" w:hAnsi="Times New Roman"/>
                      <w:color w:val="auto"/>
                      <w:sz w:val="18"/>
                      <w:szCs w:val="18"/>
                    </w:rPr>
                    <w:t>1层</w:t>
                  </w:r>
                  <w:r>
                    <w:rPr>
                      <w:rFonts w:hint="eastAsia" w:ascii="Times New Roman" w:hAnsi="Times New Roman"/>
                      <w:color w:val="auto"/>
                      <w:sz w:val="18"/>
                      <w:szCs w:val="18"/>
                      <w:lang w:eastAsia="zh-CN"/>
                    </w:rPr>
                    <w:t>平</w:t>
                  </w:r>
                  <w:r>
                    <w:rPr>
                      <w:rFonts w:hint="eastAsia" w:ascii="Times New Roman" w:hAnsi="Times New Roman"/>
                      <w:color w:val="auto"/>
                      <w:sz w:val="18"/>
                      <w:szCs w:val="18"/>
                    </w:rPr>
                    <w:t>顶，</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间</w:t>
                  </w:r>
                </w:p>
              </w:tc>
              <w:tc>
                <w:tcPr>
                  <w:tcW w:w="989" w:type="dxa"/>
                  <w:vMerge w:val="restart"/>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Merge w:val="continue"/>
                  <w:vAlign w:val="center"/>
                </w:tcPr>
                <w:p>
                  <w:pPr>
                    <w:jc w:val="center"/>
                    <w:rPr>
                      <w:rFonts w:hint="eastAsia" w:ascii="Times New Roman" w:hAnsi="Times New Roman"/>
                      <w:color w:val="auto"/>
                      <w:sz w:val="18"/>
                      <w:szCs w:val="18"/>
                    </w:rPr>
                  </w:pP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w:t>
                  </w:r>
                </w:p>
              </w:tc>
              <w:tc>
                <w:tcPr>
                  <w:tcW w:w="1289" w:type="dxa"/>
                  <w:vMerge w:val="continue"/>
                  <w:vAlign w:val="center"/>
                </w:tcPr>
                <w:p>
                  <w:pPr>
                    <w:jc w:val="center"/>
                    <w:rPr>
                      <w:rFonts w:hint="eastAsia" w:ascii="Times New Roman" w:hAnsi="Times New Roman"/>
                      <w:color w:val="auto"/>
                      <w:sz w:val="18"/>
                      <w:szCs w:val="18"/>
                    </w:rPr>
                  </w:pPr>
                </w:p>
              </w:tc>
              <w:tc>
                <w:tcPr>
                  <w:tcW w:w="989" w:type="dxa"/>
                  <w:vMerge w:val="continue"/>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30</w:t>
                  </w:r>
                  <w:r>
                    <w:rPr>
                      <w:rFonts w:hint="eastAsia" w:ascii="Times New Roman" w:hAnsi="Times New Roman"/>
                      <w:color w:val="auto"/>
                      <w:sz w:val="18"/>
                      <w:szCs w:val="18"/>
                    </w:rPr>
                    <w:t>m处</w:t>
                  </w:r>
                </w:p>
              </w:tc>
              <w:tc>
                <w:tcPr>
                  <w:tcW w:w="1289" w:type="dxa"/>
                  <w:vAlign w:val="center"/>
                </w:tcPr>
                <w:p>
                  <w:pPr>
                    <w:jc w:val="center"/>
                    <w:rPr>
                      <w:rFonts w:ascii="Times New Roman" w:hAnsi="Times New Roman"/>
                      <w:color w:val="auto"/>
                      <w:sz w:val="18"/>
                      <w:szCs w:val="18"/>
                    </w:rPr>
                  </w:pPr>
                  <w:r>
                    <w:rPr>
                      <w:rFonts w:hint="eastAsia" w:ascii="Times New Roman" w:hAnsi="Times New Roman"/>
                      <w:color w:val="auto"/>
                      <w:sz w:val="18"/>
                      <w:szCs w:val="18"/>
                    </w:rPr>
                    <w:t>1层平顶，1间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restart"/>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海口市美兰区大致坡镇石庄口村</w:t>
                  </w: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rPr>
                    <w:t>看护房</w:t>
                  </w:r>
                  <w:r>
                    <w:rPr>
                      <w:rFonts w:hint="eastAsia" w:ascii="Times New Roman" w:hAnsi="Times New Roman"/>
                      <w:color w:val="auto"/>
                      <w:sz w:val="18"/>
                      <w:szCs w:val="18"/>
                      <w:lang w:eastAsia="zh-CN"/>
                    </w:rPr>
                    <w:t>及棚屋</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w:t>
                  </w:r>
                </w:p>
              </w:tc>
              <w:tc>
                <w:tcPr>
                  <w:tcW w:w="1289" w:type="dxa"/>
                  <w:vAlign w:val="center"/>
                </w:tcPr>
                <w:p>
                  <w:pPr>
                    <w:jc w:val="center"/>
                    <w:rPr>
                      <w:rFonts w:ascii="Times New Roman" w:hAnsi="Times New Roman"/>
                      <w:color w:val="auto"/>
                      <w:sz w:val="18"/>
                      <w:szCs w:val="18"/>
                    </w:rPr>
                  </w:pPr>
                  <w:r>
                    <w:rPr>
                      <w:rFonts w:hint="eastAsia" w:ascii="Times New Roman" w:hAnsi="Times New Roman"/>
                      <w:color w:val="auto"/>
                      <w:sz w:val="18"/>
                      <w:szCs w:val="18"/>
                    </w:rPr>
                    <w:t>1层尖</w:t>
                  </w:r>
                  <w:r>
                    <w:rPr>
                      <w:rFonts w:hint="eastAsia" w:ascii="Times New Roman" w:hAnsi="Times New Roman"/>
                      <w:color w:val="auto"/>
                      <w:sz w:val="18"/>
                      <w:szCs w:val="18"/>
                      <w:lang w:eastAsia="zh-CN"/>
                    </w:rPr>
                    <w:t>、平</w:t>
                  </w:r>
                  <w:r>
                    <w:rPr>
                      <w:rFonts w:hint="eastAsia" w:ascii="Times New Roman" w:hAnsi="Times New Roman"/>
                      <w:color w:val="auto"/>
                      <w:sz w:val="18"/>
                      <w:szCs w:val="18"/>
                    </w:rPr>
                    <w:t>顶，</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p>
              </w:tc>
              <w:tc>
                <w:tcPr>
                  <w:tcW w:w="1289" w:type="dxa"/>
                  <w:vAlign w:val="center"/>
                </w:tcPr>
                <w:p>
                  <w:pPr>
                    <w:jc w:val="center"/>
                    <w:rPr>
                      <w:rFonts w:ascii="Times New Roman" w:hAnsi="Times New Roman"/>
                      <w:color w:val="auto"/>
                      <w:sz w:val="18"/>
                      <w:szCs w:val="18"/>
                    </w:rPr>
                  </w:pPr>
                  <w:r>
                    <w:rPr>
                      <w:rFonts w:hint="eastAsia" w:ascii="Times New Roman" w:hAnsi="Times New Roman"/>
                      <w:color w:val="auto"/>
                      <w:sz w:val="18"/>
                      <w:szCs w:val="18"/>
                    </w:rPr>
                    <w:t>1层尖顶，</w:t>
                  </w:r>
                  <w:r>
                    <w:rPr>
                      <w:rFonts w:hint="eastAsia" w:ascii="Times New Roman" w:hAnsi="Times New Roman"/>
                      <w:color w:val="auto"/>
                      <w:sz w:val="18"/>
                      <w:szCs w:val="18"/>
                      <w:lang w:val="en-US" w:eastAsia="zh-CN"/>
                    </w:rPr>
                    <w:t>1</w:t>
                  </w:r>
                  <w:r>
                    <w:rPr>
                      <w:rFonts w:hint="eastAsia" w:ascii="Times New Roman" w:hAnsi="Times New Roman"/>
                      <w:color w:val="auto"/>
                      <w:sz w:val="18"/>
                      <w:szCs w:val="18"/>
                    </w:rPr>
                    <w:t>间</w:t>
                  </w:r>
                </w:p>
              </w:tc>
              <w:tc>
                <w:tcPr>
                  <w:tcW w:w="989" w:type="dxa"/>
                  <w:vMerge w:val="restart"/>
                  <w:vAlign w:val="center"/>
                </w:tcPr>
                <w:p>
                  <w:pPr>
                    <w:jc w:val="center"/>
                    <w:rPr>
                      <w:rFonts w:ascii="Times New Roman" w:hAnsi="Times New Roman"/>
                      <w:color w:val="auto"/>
                      <w:sz w:val="18"/>
                      <w:szCs w:val="18"/>
                    </w:rPr>
                  </w:pPr>
                  <w:r>
                    <w:rPr>
                      <w:rFonts w:ascii="Times New Roman" w:hAnsi="Times New Roman"/>
                      <w:color w:val="auto"/>
                      <w:sz w:val="18"/>
                      <w:szCs w:val="18"/>
                    </w:rPr>
                    <w:t>E、B、N</w:t>
                  </w:r>
                </w:p>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民房及看护房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12~15</w:t>
                  </w:r>
                  <w:r>
                    <w:rPr>
                      <w:rFonts w:hint="eastAsia" w:ascii="Times New Roman" w:hAnsi="Times New Roman"/>
                      <w:color w:val="auto"/>
                      <w:sz w:val="18"/>
                      <w:szCs w:val="18"/>
                    </w:rPr>
                    <w:t>m处</w:t>
                  </w:r>
                </w:p>
              </w:tc>
              <w:tc>
                <w:tcPr>
                  <w:tcW w:w="1289" w:type="dxa"/>
                  <w:vAlign w:val="center"/>
                </w:tcPr>
                <w:p>
                  <w:pPr>
                    <w:jc w:val="center"/>
                    <w:rPr>
                      <w:rFonts w:ascii="Times New Roman" w:hAnsi="Times New Roman"/>
                      <w:color w:val="auto"/>
                      <w:sz w:val="18"/>
                      <w:szCs w:val="18"/>
                    </w:rPr>
                  </w:pPr>
                  <w:r>
                    <w:rPr>
                      <w:rFonts w:hint="eastAsia" w:ascii="Times New Roman" w:hAnsi="Times New Roman"/>
                      <w:color w:val="auto"/>
                      <w:sz w:val="18"/>
                      <w:szCs w:val="18"/>
                    </w:rPr>
                    <w:t>1层尖顶，</w:t>
                  </w:r>
                  <w:r>
                    <w:rPr>
                      <w:rFonts w:hint="eastAsia" w:ascii="Times New Roman" w:hAnsi="Times New Roman"/>
                      <w:color w:val="auto"/>
                      <w:sz w:val="18"/>
                      <w:szCs w:val="18"/>
                      <w:lang w:val="en-US" w:eastAsia="zh-CN"/>
                    </w:rPr>
                    <w:t>3</w:t>
                  </w:r>
                  <w:r>
                    <w:rPr>
                      <w:rFonts w:hint="eastAsia" w:ascii="Times New Roman" w:hAnsi="Times New Roman"/>
                      <w:color w:val="auto"/>
                      <w:sz w:val="18"/>
                      <w:szCs w:val="18"/>
                    </w:rPr>
                    <w:t>间</w:t>
                  </w:r>
                </w:p>
              </w:tc>
              <w:tc>
                <w:tcPr>
                  <w:tcW w:w="989" w:type="dxa"/>
                  <w:vMerge w:val="continue"/>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1层尖顶，</w:t>
                  </w:r>
                  <w:r>
                    <w:rPr>
                      <w:rFonts w:hint="eastAsia" w:ascii="Times New Roman" w:hAnsi="Times New Roman"/>
                      <w:color w:val="auto"/>
                      <w:sz w:val="18"/>
                      <w:szCs w:val="18"/>
                      <w:lang w:val="en-US" w:eastAsia="zh-CN"/>
                    </w:rPr>
                    <w:t>1</w:t>
                  </w:r>
                  <w:r>
                    <w:rPr>
                      <w:rFonts w:hint="eastAsia" w:ascii="Times New Roman" w:hAnsi="Times New Roman"/>
                      <w:color w:val="auto"/>
                      <w:sz w:val="18"/>
                      <w:szCs w:val="18"/>
                    </w:rPr>
                    <w:t>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restart"/>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海口市美兰区大致坡镇张官村</w:t>
                  </w: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1层平顶，1间</w:t>
                  </w:r>
                </w:p>
              </w:tc>
              <w:tc>
                <w:tcPr>
                  <w:tcW w:w="989" w:type="dxa"/>
                  <w:vMerge w:val="restart"/>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both"/>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养殖棚</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w:t>
                  </w:r>
                </w:p>
              </w:tc>
              <w:tc>
                <w:tcPr>
                  <w:tcW w:w="1289" w:type="dxa"/>
                  <w:vAlign w:val="center"/>
                </w:tcPr>
                <w:p>
                  <w:pPr>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rPr>
                    <w:t>1层尖顶，</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间</w:t>
                  </w:r>
                </w:p>
              </w:tc>
              <w:tc>
                <w:tcPr>
                  <w:tcW w:w="989" w:type="dxa"/>
                  <w:vMerge w:val="continue"/>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看护房及棚屋</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40</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1层</w:t>
                  </w:r>
                  <w:r>
                    <w:rPr>
                      <w:rFonts w:hint="eastAsia" w:ascii="Times New Roman" w:hAnsi="Times New Roman"/>
                      <w:color w:val="auto"/>
                      <w:sz w:val="18"/>
                      <w:szCs w:val="18"/>
                      <w:lang w:eastAsia="zh-CN"/>
                    </w:rPr>
                    <w:t>尖、平</w:t>
                  </w:r>
                  <w:r>
                    <w:rPr>
                      <w:rFonts w:hint="eastAsia" w:ascii="Times New Roman" w:hAnsi="Times New Roman"/>
                      <w:color w:val="auto"/>
                      <w:sz w:val="18"/>
                      <w:szCs w:val="18"/>
                    </w:rPr>
                    <w:t>顶，</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restart"/>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海口市美兰区大致坡镇潭门村</w:t>
                  </w: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看护房及棚</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5</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1层</w:t>
                  </w:r>
                  <w:r>
                    <w:rPr>
                      <w:rFonts w:hint="eastAsia" w:ascii="Times New Roman" w:hAnsi="Times New Roman"/>
                      <w:color w:val="auto"/>
                      <w:sz w:val="18"/>
                      <w:szCs w:val="18"/>
                      <w:lang w:eastAsia="zh-CN"/>
                    </w:rPr>
                    <w:t>平</w:t>
                  </w:r>
                  <w:r>
                    <w:rPr>
                      <w:rFonts w:hint="eastAsia" w:ascii="Times New Roman" w:hAnsi="Times New Roman"/>
                      <w:color w:val="auto"/>
                      <w:sz w:val="18"/>
                      <w:szCs w:val="18"/>
                    </w:rPr>
                    <w:t>顶，</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间</w:t>
                  </w:r>
                </w:p>
              </w:tc>
              <w:tc>
                <w:tcPr>
                  <w:tcW w:w="989" w:type="dxa"/>
                  <w:vMerge w:val="restart"/>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1层</w:t>
                  </w:r>
                  <w:r>
                    <w:rPr>
                      <w:rFonts w:hint="eastAsia" w:ascii="Times New Roman" w:hAnsi="Times New Roman"/>
                      <w:color w:val="auto"/>
                      <w:sz w:val="18"/>
                      <w:szCs w:val="18"/>
                      <w:lang w:eastAsia="zh-CN"/>
                    </w:rPr>
                    <w:t>平</w:t>
                  </w:r>
                  <w:r>
                    <w:rPr>
                      <w:rFonts w:hint="eastAsia" w:ascii="Times New Roman" w:hAnsi="Times New Roman"/>
                      <w:color w:val="auto"/>
                      <w:sz w:val="18"/>
                      <w:szCs w:val="18"/>
                    </w:rPr>
                    <w:t>顶，</w:t>
                  </w:r>
                  <w:r>
                    <w:rPr>
                      <w:rFonts w:hint="eastAsia" w:ascii="Times New Roman" w:hAnsi="Times New Roman"/>
                      <w:color w:val="auto"/>
                      <w:sz w:val="18"/>
                      <w:szCs w:val="18"/>
                      <w:lang w:val="en-US" w:eastAsia="zh-CN"/>
                    </w:rPr>
                    <w:t>3</w:t>
                  </w:r>
                  <w:r>
                    <w:rPr>
                      <w:rFonts w:hint="eastAsia" w:ascii="Times New Roman" w:hAnsi="Times New Roman"/>
                      <w:color w:val="auto"/>
                      <w:sz w:val="18"/>
                      <w:szCs w:val="18"/>
                    </w:rPr>
                    <w:t>间</w:t>
                  </w:r>
                </w:p>
              </w:tc>
              <w:tc>
                <w:tcPr>
                  <w:tcW w:w="989" w:type="dxa"/>
                  <w:vMerge w:val="continue"/>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1层尖顶，</w:t>
                  </w:r>
                  <w:r>
                    <w:rPr>
                      <w:rFonts w:hint="eastAsia" w:ascii="Times New Roman" w:hAnsi="Times New Roman"/>
                      <w:color w:val="auto"/>
                      <w:sz w:val="18"/>
                      <w:szCs w:val="18"/>
                      <w:lang w:val="en-US" w:eastAsia="zh-CN"/>
                    </w:rPr>
                    <w:t>1</w:t>
                  </w:r>
                  <w:r>
                    <w:rPr>
                      <w:rFonts w:hint="eastAsia" w:ascii="Times New Roman" w:hAnsi="Times New Roman"/>
                      <w:color w:val="auto"/>
                      <w:sz w:val="18"/>
                      <w:szCs w:val="18"/>
                    </w:rPr>
                    <w:t>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restart"/>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海口市琼山区红旗镇桃林村</w:t>
                  </w:r>
                </w:p>
              </w:tc>
              <w:tc>
                <w:tcPr>
                  <w:tcW w:w="91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看护房及棚</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30</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1层</w:t>
                  </w:r>
                  <w:r>
                    <w:rPr>
                      <w:rFonts w:hint="eastAsia" w:ascii="Times New Roman" w:hAnsi="Times New Roman"/>
                      <w:color w:val="auto"/>
                      <w:sz w:val="18"/>
                      <w:szCs w:val="18"/>
                      <w:lang w:eastAsia="zh-CN"/>
                    </w:rPr>
                    <w:t>平</w:t>
                  </w:r>
                  <w:r>
                    <w:rPr>
                      <w:rFonts w:hint="eastAsia" w:ascii="Times New Roman" w:hAnsi="Times New Roman"/>
                      <w:color w:val="auto"/>
                      <w:sz w:val="18"/>
                      <w:szCs w:val="18"/>
                    </w:rPr>
                    <w:t>顶，</w:t>
                  </w:r>
                  <w:r>
                    <w:rPr>
                      <w:rFonts w:hint="eastAsia" w:ascii="Times New Roman" w:hAnsi="Times New Roman"/>
                      <w:color w:val="auto"/>
                      <w:sz w:val="18"/>
                      <w:szCs w:val="18"/>
                      <w:lang w:val="en-US" w:eastAsia="zh-CN"/>
                    </w:rPr>
                    <w:t>1</w:t>
                  </w:r>
                  <w:r>
                    <w:rPr>
                      <w:rFonts w:hint="eastAsia" w:ascii="Times New Roman" w:hAnsi="Times New Roman"/>
                      <w:color w:val="auto"/>
                      <w:sz w:val="18"/>
                      <w:szCs w:val="18"/>
                    </w:rPr>
                    <w:t>间</w:t>
                  </w:r>
                </w:p>
              </w:tc>
              <w:tc>
                <w:tcPr>
                  <w:tcW w:w="989" w:type="dxa"/>
                  <w:vMerge w:val="restart"/>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1层</w:t>
                  </w:r>
                  <w:r>
                    <w:rPr>
                      <w:rFonts w:hint="eastAsia" w:ascii="Times New Roman" w:hAnsi="Times New Roman"/>
                      <w:color w:val="auto"/>
                      <w:sz w:val="18"/>
                      <w:szCs w:val="18"/>
                      <w:lang w:eastAsia="zh-CN"/>
                    </w:rPr>
                    <w:t>平</w:t>
                  </w:r>
                  <w:r>
                    <w:rPr>
                      <w:rFonts w:hint="eastAsia" w:ascii="Times New Roman" w:hAnsi="Times New Roman"/>
                      <w:color w:val="auto"/>
                      <w:sz w:val="18"/>
                      <w:szCs w:val="18"/>
                    </w:rPr>
                    <w:t>顶，</w:t>
                  </w:r>
                  <w:r>
                    <w:rPr>
                      <w:rFonts w:hint="eastAsia" w:ascii="Times New Roman" w:hAnsi="Times New Roman"/>
                      <w:color w:val="auto"/>
                      <w:sz w:val="18"/>
                      <w:szCs w:val="18"/>
                      <w:lang w:val="en-US" w:eastAsia="zh-CN"/>
                    </w:rPr>
                    <w:t>1</w:t>
                  </w:r>
                  <w:r>
                    <w:rPr>
                      <w:rFonts w:hint="eastAsia" w:ascii="Times New Roman" w:hAnsi="Times New Roman"/>
                      <w:color w:val="auto"/>
                      <w:sz w:val="18"/>
                      <w:szCs w:val="18"/>
                    </w:rPr>
                    <w:t>间</w:t>
                  </w:r>
                </w:p>
              </w:tc>
              <w:tc>
                <w:tcPr>
                  <w:tcW w:w="989" w:type="dxa"/>
                  <w:vMerge w:val="continue"/>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restart"/>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海口市琼山区红旗镇昆上村</w:t>
                  </w: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民房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1层</w:t>
                  </w:r>
                  <w:r>
                    <w:rPr>
                      <w:rFonts w:hint="eastAsia" w:ascii="Times New Roman" w:hAnsi="Times New Roman"/>
                      <w:color w:val="auto"/>
                      <w:sz w:val="18"/>
                      <w:szCs w:val="18"/>
                      <w:lang w:eastAsia="zh-CN"/>
                    </w:rPr>
                    <w:t>平</w:t>
                  </w:r>
                  <w:r>
                    <w:rPr>
                      <w:rFonts w:hint="eastAsia" w:ascii="Times New Roman" w:hAnsi="Times New Roman"/>
                      <w:color w:val="auto"/>
                      <w:sz w:val="18"/>
                      <w:szCs w:val="18"/>
                    </w:rPr>
                    <w:t>顶，</w:t>
                  </w:r>
                  <w:r>
                    <w:rPr>
                      <w:rFonts w:hint="eastAsia" w:ascii="Times New Roman" w:hAnsi="Times New Roman"/>
                      <w:color w:val="auto"/>
                      <w:sz w:val="18"/>
                      <w:szCs w:val="18"/>
                      <w:lang w:val="en-US" w:eastAsia="zh-CN"/>
                    </w:rPr>
                    <w:t>1</w:t>
                  </w:r>
                  <w:r>
                    <w:rPr>
                      <w:rFonts w:hint="eastAsia" w:ascii="Times New Roman" w:hAnsi="Times New Roman"/>
                      <w:color w:val="auto"/>
                      <w:sz w:val="18"/>
                      <w:szCs w:val="18"/>
                    </w:rPr>
                    <w:t>间</w:t>
                  </w:r>
                </w:p>
              </w:tc>
              <w:tc>
                <w:tcPr>
                  <w:tcW w:w="989" w:type="dxa"/>
                  <w:vMerge w:val="restart"/>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lang w:eastAsia="zh-CN"/>
                    </w:rPr>
                  </w:pPr>
                </w:p>
              </w:tc>
              <w:tc>
                <w:tcPr>
                  <w:tcW w:w="915" w:type="dxa"/>
                  <w:vAlign w:val="center"/>
                </w:tcPr>
                <w:p>
                  <w:pPr>
                    <w:jc w:val="center"/>
                    <w:rPr>
                      <w:rFonts w:hint="eastAsia" w:ascii="Times New Roman" w:hAnsi="Times New Roman"/>
                      <w:color w:val="auto"/>
                      <w:sz w:val="18"/>
                      <w:szCs w:val="18"/>
                      <w:lang w:eastAsia="zh-CN"/>
                    </w:rPr>
                  </w:pPr>
                  <w:r>
                    <w:rPr>
                      <w:rFonts w:hint="eastAsia" w:ascii="Times New Roman" w:hAnsi="Times New Roman"/>
                      <w:color w:val="auto"/>
                      <w:sz w:val="18"/>
                      <w:szCs w:val="18"/>
                      <w:lang w:eastAsia="zh-CN"/>
                    </w:rPr>
                    <w:t>仓库及闲置养殖房</w:t>
                  </w:r>
                </w:p>
              </w:tc>
              <w:tc>
                <w:tcPr>
                  <w:tcW w:w="1429" w:type="dxa"/>
                  <w:vAlign w:val="center"/>
                </w:tcPr>
                <w:p>
                  <w:pPr>
                    <w:jc w:val="both"/>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拟建线路跨越</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1层尖顶，</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间</w:t>
                  </w:r>
                </w:p>
              </w:tc>
              <w:tc>
                <w:tcPr>
                  <w:tcW w:w="989" w:type="dxa"/>
                  <w:vMerge w:val="continue"/>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民房及闲置养殖房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35~40</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1层尖</w:t>
                  </w:r>
                  <w:r>
                    <w:rPr>
                      <w:rFonts w:hint="eastAsia" w:ascii="Times New Roman" w:hAnsi="Times New Roman"/>
                      <w:color w:val="auto"/>
                      <w:sz w:val="18"/>
                      <w:szCs w:val="18"/>
                      <w:lang w:eastAsia="zh-CN"/>
                    </w:rPr>
                    <w:t>、平</w:t>
                  </w:r>
                  <w:r>
                    <w:rPr>
                      <w:rFonts w:hint="eastAsia" w:ascii="Times New Roman" w:hAnsi="Times New Roman"/>
                      <w:color w:val="auto"/>
                      <w:sz w:val="18"/>
                      <w:szCs w:val="18"/>
                    </w:rPr>
                    <w:t>顶，</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间</w:t>
                  </w:r>
                </w:p>
              </w:tc>
              <w:tc>
                <w:tcPr>
                  <w:tcW w:w="989" w:type="dxa"/>
                  <w:vMerge w:val="continue"/>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restart"/>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海口市琼山区红旗镇永萌村</w:t>
                  </w:r>
                </w:p>
              </w:tc>
              <w:tc>
                <w:tcPr>
                  <w:tcW w:w="91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看护房及养殖棚</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10</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1层尖顶，</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间</w:t>
                  </w:r>
                </w:p>
              </w:tc>
              <w:tc>
                <w:tcPr>
                  <w:tcW w:w="989" w:type="dxa"/>
                  <w:vMerge w:val="restart"/>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彩钢看护房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1</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1层</w:t>
                  </w:r>
                  <w:r>
                    <w:rPr>
                      <w:rFonts w:hint="eastAsia" w:ascii="Times New Roman" w:hAnsi="Times New Roman"/>
                      <w:color w:val="auto"/>
                      <w:sz w:val="18"/>
                      <w:szCs w:val="18"/>
                      <w:lang w:eastAsia="zh-CN"/>
                    </w:rPr>
                    <w:t>平</w:t>
                  </w:r>
                  <w:r>
                    <w:rPr>
                      <w:rFonts w:hint="eastAsia" w:ascii="Times New Roman" w:hAnsi="Times New Roman"/>
                      <w:color w:val="auto"/>
                      <w:sz w:val="18"/>
                      <w:szCs w:val="18"/>
                    </w:rPr>
                    <w:t>顶，</w:t>
                  </w:r>
                  <w:r>
                    <w:rPr>
                      <w:rFonts w:hint="eastAsia" w:ascii="Times New Roman" w:hAnsi="Times New Roman"/>
                      <w:color w:val="auto"/>
                      <w:sz w:val="18"/>
                      <w:szCs w:val="18"/>
                      <w:lang w:val="en-US" w:eastAsia="zh-CN"/>
                    </w:rPr>
                    <w:t>1</w:t>
                  </w:r>
                  <w:r>
                    <w:rPr>
                      <w:rFonts w:hint="eastAsia" w:ascii="Times New Roman" w:hAnsi="Times New Roman"/>
                      <w:color w:val="auto"/>
                      <w:sz w:val="18"/>
                      <w:szCs w:val="18"/>
                    </w:rPr>
                    <w:t>间</w:t>
                  </w:r>
                </w:p>
              </w:tc>
              <w:tc>
                <w:tcPr>
                  <w:tcW w:w="989" w:type="dxa"/>
                  <w:vMerge w:val="continue"/>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restart"/>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海口市琼山区旧州镇美顶村</w:t>
                  </w: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荔枝园生产车间</w:t>
                  </w:r>
                </w:p>
              </w:tc>
              <w:tc>
                <w:tcPr>
                  <w:tcW w:w="1429" w:type="dxa"/>
                  <w:vAlign w:val="center"/>
                </w:tcPr>
                <w:p>
                  <w:pPr>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20</w:t>
                  </w:r>
                  <w:r>
                    <w:rPr>
                      <w:rFonts w:hint="eastAsia" w:ascii="Times New Roman" w:hAnsi="Times New Roman"/>
                      <w:color w:val="auto"/>
                      <w:sz w:val="18"/>
                      <w:szCs w:val="18"/>
                    </w:rPr>
                    <w:t>m处</w:t>
                  </w:r>
                </w:p>
              </w:tc>
              <w:tc>
                <w:tcPr>
                  <w:tcW w:w="1289" w:type="dxa"/>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1层平顶，2间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养殖棚</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36</w:t>
                  </w:r>
                  <w:r>
                    <w:rPr>
                      <w:rFonts w:hint="eastAsia" w:ascii="Times New Roman" w:hAnsi="Times New Roman"/>
                      <w:color w:val="auto"/>
                      <w:sz w:val="18"/>
                      <w:szCs w:val="18"/>
                    </w:rPr>
                    <w:t>m处</w:t>
                  </w:r>
                </w:p>
              </w:tc>
              <w:tc>
                <w:tcPr>
                  <w:tcW w:w="1289" w:type="dxa"/>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1层尖顶，2间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5</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1层尖顶，1间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海口市琼山区云龙镇三岭村</w:t>
                  </w: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养鸡棚</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1层尖顶，2间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海口市琼山区龙塘镇美隆村</w:t>
                  </w: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民房</w:t>
                  </w:r>
                </w:p>
              </w:tc>
              <w:tc>
                <w:tcPr>
                  <w:tcW w:w="1429"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20</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2层平顶，2间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海口市琼山区龙塘镇仁庄村</w:t>
                  </w: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看护房及养殖棚</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30</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1层尖、平顶，约5间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海口市琼山区龙塘镇永罗村</w:t>
                  </w:r>
                </w:p>
              </w:tc>
              <w:tc>
                <w:tcPr>
                  <w:tcW w:w="91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民房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36</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1层平顶，1间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海口市琼山区龙塘镇龙新村</w:t>
                  </w:r>
                </w:p>
              </w:tc>
              <w:tc>
                <w:tcPr>
                  <w:tcW w:w="91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在建民房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1~2层平顶，3间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restart"/>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海口市琼山区龙塘镇罗京村</w:t>
                  </w:r>
                </w:p>
              </w:tc>
              <w:tc>
                <w:tcPr>
                  <w:tcW w:w="91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在建民房及养殖棚</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5~36</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1~4层平顶，2间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20</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1层尖顶，2间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海口市琼山区龙塘镇玉荣村</w:t>
                  </w: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35</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1层尖顶，1间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海口市龙华区龙桥镇潭社村</w:t>
                  </w: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1层平顶，1间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restart"/>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海口市龙华区府城镇永田村</w:t>
                  </w: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看护房及养殖棚</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30</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1层平顶，5间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看护房</w:t>
                  </w:r>
                </w:p>
              </w:tc>
              <w:tc>
                <w:tcPr>
                  <w:tcW w:w="142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28</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1层尖顶，1间</w:t>
                  </w:r>
                </w:p>
              </w:tc>
              <w:tc>
                <w:tcPr>
                  <w:tcW w:w="989" w:type="dxa"/>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民房</w:t>
                  </w:r>
                </w:p>
              </w:tc>
              <w:tc>
                <w:tcPr>
                  <w:tcW w:w="1429"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拟建线路跨越</w:t>
                  </w:r>
                </w:p>
              </w:tc>
              <w:tc>
                <w:tcPr>
                  <w:tcW w:w="1289" w:type="dxa"/>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1层尖顶，1间</w:t>
                  </w:r>
                </w:p>
              </w:tc>
              <w:tc>
                <w:tcPr>
                  <w:tcW w:w="989" w:type="dxa"/>
                  <w:vMerge w:val="restart"/>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民房、仓库及岗亭</w:t>
                  </w:r>
                </w:p>
              </w:tc>
              <w:tc>
                <w:tcPr>
                  <w:tcW w:w="1429" w:type="dxa"/>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eastAsia="zh-CN"/>
                    </w:rPr>
                    <w:t>拟建线路东南侧约</w:t>
                  </w:r>
                  <w:r>
                    <w:rPr>
                      <w:rFonts w:hint="eastAsia" w:ascii="Times New Roman" w:hAnsi="Times New Roman"/>
                      <w:color w:val="auto"/>
                      <w:sz w:val="18"/>
                      <w:szCs w:val="18"/>
                      <w:lang w:val="en-US" w:eastAsia="zh-CN"/>
                    </w:rPr>
                    <w:t>1~25m处</w:t>
                  </w:r>
                </w:p>
              </w:tc>
              <w:tc>
                <w:tcPr>
                  <w:tcW w:w="1289" w:type="dxa"/>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1层平顶，6间</w:t>
                  </w:r>
                </w:p>
              </w:tc>
              <w:tc>
                <w:tcPr>
                  <w:tcW w:w="989" w:type="dxa"/>
                  <w:vMerge w:val="continue"/>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rPr>
                  </w:pPr>
                </w:p>
              </w:tc>
              <w:tc>
                <w:tcPr>
                  <w:tcW w:w="915"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民房、厂房及彩钢房</w:t>
                  </w:r>
                </w:p>
              </w:tc>
              <w:tc>
                <w:tcPr>
                  <w:tcW w:w="1429" w:type="dxa"/>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eastAsia="zh-CN"/>
                    </w:rPr>
                    <w:t>拟建线路西北侧约</w:t>
                  </w:r>
                  <w:r>
                    <w:rPr>
                      <w:rFonts w:hint="eastAsia" w:ascii="Times New Roman" w:hAnsi="Times New Roman"/>
                      <w:color w:val="auto"/>
                      <w:sz w:val="18"/>
                      <w:szCs w:val="18"/>
                      <w:lang w:val="en-US" w:eastAsia="zh-CN"/>
                    </w:rPr>
                    <w:t>15~40m处</w:t>
                  </w:r>
                </w:p>
              </w:tc>
              <w:tc>
                <w:tcPr>
                  <w:tcW w:w="1289" w:type="dxa"/>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1~3层尖、平顶，5间</w:t>
                  </w:r>
                </w:p>
              </w:tc>
              <w:tc>
                <w:tcPr>
                  <w:tcW w:w="989" w:type="dxa"/>
                  <w:vMerge w:val="continue"/>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restart"/>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220kV玉洲至江东单回临时保电线路工程</w:t>
                  </w:r>
                </w:p>
              </w:tc>
              <w:tc>
                <w:tcPr>
                  <w:tcW w:w="1453" w:type="dxa"/>
                  <w:vMerge w:val="restart"/>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海口市龙华区府城镇永田村</w:t>
                  </w:r>
                </w:p>
              </w:tc>
              <w:tc>
                <w:tcPr>
                  <w:tcW w:w="915" w:type="dxa"/>
                  <w:vAlign w:val="center"/>
                </w:tcPr>
                <w:p>
                  <w:pPr>
                    <w:jc w:val="center"/>
                    <w:rPr>
                      <w:rFonts w:hint="eastAsia" w:ascii="Times New Roman" w:hAnsi="Times New Roman"/>
                      <w:color w:val="auto"/>
                      <w:sz w:val="18"/>
                      <w:szCs w:val="18"/>
                      <w:lang w:eastAsia="zh-CN"/>
                    </w:rPr>
                  </w:pPr>
                  <w:r>
                    <w:rPr>
                      <w:rFonts w:hint="eastAsia" w:ascii="Times New Roman" w:hAnsi="Times New Roman"/>
                      <w:color w:val="auto"/>
                      <w:sz w:val="18"/>
                      <w:szCs w:val="18"/>
                      <w:lang w:eastAsia="zh-CN"/>
                    </w:rPr>
                    <w:t>民房、板房及棚</w:t>
                  </w:r>
                </w:p>
              </w:tc>
              <w:tc>
                <w:tcPr>
                  <w:tcW w:w="1429" w:type="dxa"/>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5~30</w:t>
                  </w:r>
                  <w:r>
                    <w:rPr>
                      <w:rFonts w:hint="eastAsia" w:ascii="Times New Roman" w:hAnsi="Times New Roman"/>
                      <w:color w:val="auto"/>
                      <w:sz w:val="18"/>
                      <w:szCs w:val="18"/>
                    </w:rPr>
                    <w:t>m处</w:t>
                  </w:r>
                  <w:r>
                    <w:rPr>
                      <w:rFonts w:hint="eastAsia" w:ascii="Times New Roman" w:hAnsi="Times New Roman"/>
                      <w:color w:val="auto"/>
                      <w:sz w:val="18"/>
                      <w:szCs w:val="18"/>
                      <w:lang w:eastAsia="zh-CN"/>
                    </w:rPr>
                    <w:t>及西北侧约</w:t>
                  </w:r>
                  <w:r>
                    <w:rPr>
                      <w:rFonts w:hint="eastAsia" w:ascii="Times New Roman" w:hAnsi="Times New Roman"/>
                      <w:color w:val="auto"/>
                      <w:sz w:val="18"/>
                      <w:szCs w:val="18"/>
                      <w:lang w:val="en-US" w:eastAsia="zh-CN"/>
                    </w:rPr>
                    <w:t>5m处</w:t>
                  </w:r>
                </w:p>
              </w:tc>
              <w:tc>
                <w:tcPr>
                  <w:tcW w:w="1289" w:type="dxa"/>
                  <w:vAlign w:val="center"/>
                </w:tcPr>
                <w:p>
                  <w:pPr>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1层尖、平顶，约7间</w:t>
                  </w:r>
                </w:p>
              </w:tc>
              <w:tc>
                <w:tcPr>
                  <w:tcW w:w="989" w:type="dxa"/>
                  <w:vMerge w:val="restart"/>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lang w:val="en-US" w:eastAsia="zh-CN"/>
                    </w:rPr>
                  </w:pPr>
                </w:p>
              </w:tc>
              <w:tc>
                <w:tcPr>
                  <w:tcW w:w="1453" w:type="dxa"/>
                  <w:vMerge w:val="continue"/>
                  <w:vAlign w:val="center"/>
                </w:tcPr>
                <w:p>
                  <w:pPr>
                    <w:jc w:val="center"/>
                    <w:rPr>
                      <w:rFonts w:hint="eastAsia" w:ascii="Times New Roman" w:hAnsi="Times New Roman"/>
                      <w:color w:val="auto"/>
                      <w:sz w:val="18"/>
                      <w:szCs w:val="18"/>
                      <w:lang w:eastAsia="zh-CN"/>
                    </w:rPr>
                  </w:pPr>
                </w:p>
              </w:tc>
              <w:tc>
                <w:tcPr>
                  <w:tcW w:w="915" w:type="dxa"/>
                  <w:vAlign w:val="center"/>
                </w:tcPr>
                <w:p>
                  <w:pPr>
                    <w:jc w:val="center"/>
                    <w:rPr>
                      <w:rFonts w:hint="eastAsia" w:ascii="Times New Roman" w:hAnsi="Times New Roman"/>
                      <w:color w:val="auto"/>
                      <w:sz w:val="18"/>
                      <w:szCs w:val="18"/>
                      <w:lang w:eastAsia="zh-CN"/>
                    </w:rPr>
                  </w:pPr>
                  <w:r>
                    <w:rPr>
                      <w:rFonts w:hint="eastAsia" w:ascii="Times New Roman" w:hAnsi="Times New Roman"/>
                      <w:color w:val="auto"/>
                      <w:sz w:val="18"/>
                      <w:szCs w:val="18"/>
                      <w:lang w:eastAsia="zh-CN"/>
                    </w:rPr>
                    <w:t>看护房、仓库及彩钢房</w:t>
                  </w:r>
                </w:p>
              </w:tc>
              <w:tc>
                <w:tcPr>
                  <w:tcW w:w="1429"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拟建线路跨越</w:t>
                  </w:r>
                </w:p>
              </w:tc>
              <w:tc>
                <w:tcPr>
                  <w:tcW w:w="1289" w:type="dxa"/>
                  <w:vAlign w:val="center"/>
                </w:tcPr>
                <w:p>
                  <w:pPr>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1层平顶，约5间</w:t>
                  </w:r>
                </w:p>
              </w:tc>
              <w:tc>
                <w:tcPr>
                  <w:tcW w:w="989" w:type="dxa"/>
                  <w:vMerge w:val="continue"/>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restart"/>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eastAsia="zh-CN"/>
                    </w:rPr>
                    <w:t>海口市龙华区府城镇儒传村</w:t>
                  </w:r>
                </w:p>
              </w:tc>
              <w:tc>
                <w:tcPr>
                  <w:tcW w:w="915" w:type="dxa"/>
                  <w:vAlign w:val="center"/>
                </w:tcPr>
                <w:p>
                  <w:pPr>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eastAsia="zh-CN"/>
                    </w:rPr>
                    <w:t>看护房及彩钢房</w:t>
                  </w:r>
                </w:p>
              </w:tc>
              <w:tc>
                <w:tcPr>
                  <w:tcW w:w="1429" w:type="dxa"/>
                  <w:vAlign w:val="center"/>
                </w:tcPr>
                <w:p>
                  <w:pPr>
                    <w:jc w:val="center"/>
                    <w:rPr>
                      <w:rFonts w:hint="eastAsia" w:ascii="Times New Roman" w:hAnsi="Times New Roman"/>
                      <w:color w:val="auto"/>
                      <w:sz w:val="18"/>
                      <w:szCs w:val="18"/>
                      <w:lang w:eastAsia="zh-CN"/>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w:t>
                  </w:r>
                  <w:r>
                    <w:rPr>
                      <w:rFonts w:hint="eastAsia" w:ascii="Times New Roman" w:hAnsi="Times New Roman"/>
                      <w:color w:val="auto"/>
                      <w:sz w:val="18"/>
                      <w:szCs w:val="18"/>
                    </w:rPr>
                    <w:t>侧</w:t>
                  </w:r>
                  <w:r>
                    <w:rPr>
                      <w:rFonts w:hint="eastAsia" w:ascii="Times New Roman" w:hAnsi="Times New Roman"/>
                      <w:color w:val="auto"/>
                      <w:sz w:val="18"/>
                      <w:szCs w:val="18"/>
                      <w:lang w:eastAsia="zh-CN"/>
                    </w:rPr>
                    <w:t>及东侧</w:t>
                  </w:r>
                  <w:r>
                    <w:rPr>
                      <w:rFonts w:hint="eastAsia" w:ascii="Times New Roman" w:hAnsi="Times New Roman"/>
                      <w:color w:val="auto"/>
                      <w:sz w:val="18"/>
                      <w:szCs w:val="18"/>
                    </w:rPr>
                    <w:t>约</w:t>
                  </w:r>
                  <w:r>
                    <w:rPr>
                      <w:rFonts w:hint="eastAsia" w:ascii="Times New Roman" w:hAnsi="Times New Roman"/>
                      <w:color w:val="auto"/>
                      <w:sz w:val="18"/>
                      <w:szCs w:val="18"/>
                      <w:lang w:val="en-US" w:eastAsia="zh-CN"/>
                    </w:rPr>
                    <w:t>5</w:t>
                  </w:r>
                  <w:r>
                    <w:rPr>
                      <w:rFonts w:hint="eastAsia" w:ascii="Times New Roman" w:hAnsi="Times New Roman"/>
                      <w:color w:val="auto"/>
                      <w:sz w:val="18"/>
                      <w:szCs w:val="18"/>
                    </w:rPr>
                    <w:t>m处</w:t>
                  </w:r>
                </w:p>
              </w:tc>
              <w:tc>
                <w:tcPr>
                  <w:tcW w:w="1289" w:type="dxa"/>
                  <w:vAlign w:val="center"/>
                </w:tcPr>
                <w:p>
                  <w:pPr>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1层尖、平顶，4间</w:t>
                  </w:r>
                </w:p>
              </w:tc>
              <w:tc>
                <w:tcPr>
                  <w:tcW w:w="989" w:type="dxa"/>
                  <w:vMerge w:val="restart"/>
                  <w:vAlign w:val="center"/>
                </w:tcPr>
                <w:p>
                  <w:pPr>
                    <w:jc w:val="center"/>
                    <w:rPr>
                      <w:rFonts w:ascii="Times New Roman" w:hAnsi="Times New Roman"/>
                      <w:color w:val="auto"/>
                      <w:sz w:val="18"/>
                      <w:szCs w:val="18"/>
                    </w:rPr>
                  </w:pPr>
                  <w:r>
                    <w:rPr>
                      <w:rFonts w:ascii="Times New Roman" w:hAnsi="Times New Roman"/>
                      <w:color w:val="auto"/>
                      <w:sz w:val="18"/>
                      <w:szCs w:val="18"/>
                    </w:rPr>
                    <w:t>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77" w:type="dxa"/>
                  <w:vMerge w:val="continue"/>
                  <w:vAlign w:val="center"/>
                </w:tcPr>
                <w:p>
                  <w:pPr>
                    <w:jc w:val="center"/>
                    <w:rPr>
                      <w:rFonts w:hint="eastAsia" w:ascii="Times New Roman" w:hAnsi="Times New Roman"/>
                      <w:color w:val="auto"/>
                      <w:sz w:val="18"/>
                      <w:szCs w:val="18"/>
                    </w:rPr>
                  </w:pPr>
                </w:p>
              </w:tc>
              <w:tc>
                <w:tcPr>
                  <w:tcW w:w="1453" w:type="dxa"/>
                  <w:vMerge w:val="continue"/>
                  <w:vAlign w:val="center"/>
                </w:tcPr>
                <w:p>
                  <w:pPr>
                    <w:jc w:val="center"/>
                    <w:rPr>
                      <w:rFonts w:hint="eastAsia" w:ascii="Times New Roman" w:hAnsi="Times New Roman"/>
                      <w:color w:val="auto"/>
                      <w:sz w:val="18"/>
                      <w:szCs w:val="18"/>
                      <w:lang w:eastAsia="zh-CN"/>
                    </w:rPr>
                  </w:pPr>
                </w:p>
              </w:tc>
              <w:tc>
                <w:tcPr>
                  <w:tcW w:w="915" w:type="dxa"/>
                  <w:vAlign w:val="center"/>
                </w:tcPr>
                <w:p>
                  <w:pPr>
                    <w:jc w:val="center"/>
                    <w:rPr>
                      <w:rFonts w:hint="eastAsia" w:ascii="Times New Roman" w:hAnsi="Times New Roman"/>
                      <w:color w:val="auto"/>
                      <w:sz w:val="18"/>
                      <w:szCs w:val="18"/>
                      <w:lang w:eastAsia="zh-CN"/>
                    </w:rPr>
                  </w:pPr>
                  <w:r>
                    <w:rPr>
                      <w:rFonts w:hint="eastAsia" w:ascii="Times New Roman" w:hAnsi="Times New Roman"/>
                      <w:color w:val="auto"/>
                      <w:sz w:val="18"/>
                      <w:szCs w:val="18"/>
                      <w:lang w:eastAsia="zh-CN"/>
                    </w:rPr>
                    <w:t>彩钢房</w:t>
                  </w:r>
                </w:p>
              </w:tc>
              <w:tc>
                <w:tcPr>
                  <w:tcW w:w="1429" w:type="dxa"/>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拟建线路跨越</w:t>
                  </w:r>
                </w:p>
              </w:tc>
              <w:tc>
                <w:tcPr>
                  <w:tcW w:w="1289" w:type="dxa"/>
                  <w:vAlign w:val="center"/>
                </w:tcPr>
                <w:p>
                  <w:pPr>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1层平顶，1间</w:t>
                  </w:r>
                </w:p>
              </w:tc>
              <w:tc>
                <w:tcPr>
                  <w:tcW w:w="989" w:type="dxa"/>
                  <w:vMerge w:val="continue"/>
                  <w:vAlign w:val="center"/>
                </w:tcPr>
                <w:p>
                  <w:pPr>
                    <w:jc w:val="center"/>
                    <w:rPr>
                      <w:rFonts w:ascii="Times New Roman" w:hAnsi="Times New Roman"/>
                      <w:color w:val="auto"/>
                      <w:sz w:val="18"/>
                      <w:szCs w:val="18"/>
                    </w:rPr>
                  </w:pPr>
                </w:p>
              </w:tc>
            </w:tr>
          </w:tbl>
          <w:p>
            <w:pPr>
              <w:spacing w:line="460" w:lineRule="exact"/>
              <w:ind w:firstLine="420" w:firstLineChars="200"/>
              <w:rPr>
                <w:rFonts w:ascii="Times New Roman" w:hAnsi="Times New Roman"/>
                <w:color w:val="auto"/>
              </w:rPr>
            </w:pPr>
            <w:r>
              <w:rPr>
                <w:rFonts w:ascii="Times New Roman"/>
                <w:color w:val="auto"/>
              </w:rPr>
              <w:t>（</w:t>
            </w:r>
            <w:r>
              <w:rPr>
                <w:rFonts w:hint="eastAsia" w:ascii="Times New Roman" w:hAnsi="Times New Roman"/>
                <w:color w:val="auto"/>
                <w:lang w:val="en-US" w:eastAsia="zh-CN"/>
              </w:rPr>
              <w:t>2</w:t>
            </w:r>
            <w:r>
              <w:rPr>
                <w:rFonts w:ascii="Times New Roman"/>
                <w:color w:val="auto"/>
              </w:rPr>
              <w:t>）生</w:t>
            </w:r>
            <w:r>
              <w:rPr>
                <w:rFonts w:ascii="Times New Roman" w:hAnsi="Times New Roman"/>
                <w:color w:val="auto"/>
              </w:rPr>
              <w:t>态</w:t>
            </w:r>
            <w:r>
              <w:rPr>
                <w:rFonts w:hint="eastAsia" w:ascii="Times New Roman" w:hAnsi="Times New Roman"/>
                <w:color w:val="auto"/>
              </w:rPr>
              <w:t>环境</w:t>
            </w:r>
            <w:r>
              <w:rPr>
                <w:rFonts w:ascii="Times New Roman" w:hAnsi="Times New Roman"/>
                <w:color w:val="auto"/>
              </w:rPr>
              <w:t>保护目标</w:t>
            </w:r>
          </w:p>
          <w:p>
            <w:pPr>
              <w:spacing w:line="460" w:lineRule="exact"/>
              <w:ind w:firstLine="420" w:firstLineChars="200"/>
              <w:rPr>
                <w:rFonts w:ascii="Times New Roman"/>
                <w:color w:val="auto"/>
              </w:rPr>
            </w:pPr>
            <w:r>
              <w:rPr>
                <w:rFonts w:hint="eastAsia" w:ascii="Times New Roman" w:hAnsi="Times New Roman"/>
                <w:color w:val="auto"/>
              </w:rPr>
              <w:t>根据收资调查及现场踏勘，本工程线路</w:t>
            </w:r>
            <w:r>
              <w:rPr>
                <w:rFonts w:hint="eastAsia" w:ascii="Times New Roman" w:hAnsi="Times New Roman"/>
                <w:color w:val="auto"/>
                <w:lang w:eastAsia="zh-CN"/>
              </w:rPr>
              <w:t>涉及</w:t>
            </w:r>
            <w:r>
              <w:rPr>
                <w:rFonts w:hint="eastAsia" w:ascii="Times New Roman" w:hAnsi="Times New Roman"/>
                <w:color w:val="auto"/>
                <w:lang w:val="en-US" w:eastAsia="zh-CN"/>
              </w:rPr>
              <w:t>4</w:t>
            </w:r>
            <w:r>
              <w:rPr>
                <w:rFonts w:hint="eastAsia" w:ascii="Times New Roman" w:hAnsi="Times New Roman"/>
                <w:color w:val="auto"/>
              </w:rPr>
              <w:t>处海南省省级生态保护红线区，</w:t>
            </w:r>
            <w:r>
              <w:rPr>
                <w:rFonts w:hint="eastAsia" w:ascii="Times New Roman" w:hAnsi="Times New Roman"/>
                <w:color w:val="auto"/>
                <w:lang w:val="en-US" w:eastAsia="zh-CN"/>
              </w:rPr>
              <w:t>3处湿地公园</w:t>
            </w:r>
            <w:r>
              <w:rPr>
                <w:rFonts w:hint="eastAsia" w:ascii="Times New Roman" w:hAnsi="Times New Roman"/>
                <w:color w:val="auto"/>
                <w:lang w:eastAsia="zh-CN"/>
              </w:rPr>
              <w:t>和</w:t>
            </w:r>
            <w:r>
              <w:rPr>
                <w:rFonts w:hint="eastAsia" w:ascii="Times New Roman" w:hAnsi="Times New Roman"/>
                <w:color w:val="auto"/>
                <w:lang w:val="en-US" w:eastAsia="zh-CN"/>
              </w:rPr>
              <w:t>1处</w:t>
            </w:r>
            <w:r>
              <w:rPr>
                <w:rFonts w:hint="eastAsia" w:ascii="Times New Roman" w:hAnsi="Times New Roman"/>
                <w:color w:val="auto"/>
                <w:lang w:eastAsia="zh-CN"/>
              </w:rPr>
              <w:t>羊山湿地多用途管理区。</w:t>
            </w:r>
            <w:r>
              <w:rPr>
                <w:rFonts w:hint="eastAsia" w:ascii="Times New Roman" w:hAnsi="Times New Roman"/>
                <w:color w:val="auto"/>
              </w:rPr>
              <w:t>本次环评</w:t>
            </w:r>
            <w:r>
              <w:rPr>
                <w:rFonts w:hint="eastAsia" w:ascii="Times New Roman" w:hAnsi="Times New Roman"/>
                <w:color w:val="auto"/>
                <w:lang w:eastAsia="zh-CN"/>
              </w:rPr>
              <w:t>中</w:t>
            </w:r>
            <w:r>
              <w:rPr>
                <w:rFonts w:ascii="Times New Roman" w:hAnsi="Times New Roman"/>
                <w:color w:val="auto"/>
              </w:rPr>
              <w:t>均列为生态环境保护目标</w:t>
            </w:r>
            <w:r>
              <w:rPr>
                <w:rFonts w:hint="eastAsia" w:ascii="Times New Roman" w:hAnsi="Times New Roman"/>
                <w:color w:val="auto"/>
                <w:lang w:eastAsia="zh-CN"/>
              </w:rPr>
              <w:t>。穿越具体情况见</w:t>
            </w:r>
            <w:r>
              <w:rPr>
                <w:rFonts w:ascii="Times New Roman"/>
                <w:color w:val="auto"/>
              </w:rPr>
              <w:t>表</w:t>
            </w:r>
            <w:r>
              <w:rPr>
                <w:rFonts w:hint="eastAsia" w:ascii="Times New Roman"/>
                <w:color w:val="auto"/>
              </w:rPr>
              <w:t>3-</w:t>
            </w:r>
            <w:r>
              <w:rPr>
                <w:rFonts w:hint="eastAsia" w:ascii="Times New Roman"/>
                <w:color w:val="auto"/>
                <w:lang w:val="en-US" w:eastAsia="zh-CN"/>
              </w:rPr>
              <w:t>4。</w:t>
            </w:r>
          </w:p>
          <w:p>
            <w:pPr>
              <w:pStyle w:val="23"/>
              <w:keepNext w:val="0"/>
              <w:keepLines w:val="0"/>
              <w:pageBreakBefore w:val="0"/>
              <w:widowControl w:val="0"/>
              <w:kinsoku/>
              <w:wordWrap/>
              <w:overflowPunct/>
              <w:topLinePunct w:val="0"/>
              <w:autoSpaceDE/>
              <w:autoSpaceDN/>
              <w:bidi w:val="0"/>
              <w:adjustRightInd/>
              <w:snapToGrid w:val="0"/>
              <w:spacing w:line="240" w:lineRule="auto"/>
              <w:ind w:firstLine="0"/>
              <w:contextualSpacing/>
              <w:jc w:val="center"/>
              <w:textAlignment w:val="auto"/>
              <w:outlineLvl w:val="9"/>
              <w:rPr>
                <w:rFonts w:hint="eastAsia" w:ascii="Times New Roman" w:eastAsia="宋体"/>
                <w:b/>
                <w:bCs/>
                <w:color w:val="auto"/>
                <w:kern w:val="2"/>
                <w:sz w:val="21"/>
                <w:szCs w:val="21"/>
                <w:lang w:val="en-US" w:eastAsia="zh-CN"/>
              </w:rPr>
            </w:pPr>
            <w:r>
              <w:rPr>
                <w:rFonts w:ascii="Times New Roman"/>
                <w:b/>
                <w:bCs/>
                <w:color w:val="auto"/>
                <w:kern w:val="2"/>
                <w:sz w:val="21"/>
                <w:szCs w:val="21"/>
              </w:rPr>
              <w:t>表</w:t>
            </w:r>
            <w:r>
              <w:rPr>
                <w:rFonts w:hint="eastAsia" w:ascii="Times New Roman"/>
                <w:b/>
                <w:bCs/>
                <w:color w:val="auto"/>
                <w:kern w:val="2"/>
                <w:sz w:val="21"/>
                <w:szCs w:val="21"/>
              </w:rPr>
              <w:t>3-</w:t>
            </w:r>
            <w:r>
              <w:rPr>
                <w:rFonts w:hint="eastAsia" w:ascii="Times New Roman"/>
                <w:b/>
                <w:bCs/>
                <w:color w:val="auto"/>
                <w:kern w:val="2"/>
                <w:sz w:val="21"/>
                <w:szCs w:val="21"/>
                <w:lang w:val="en-US" w:eastAsia="zh-CN"/>
              </w:rPr>
              <w:t>4</w:t>
            </w:r>
            <w:r>
              <w:rPr>
                <w:rFonts w:ascii="Times New Roman"/>
                <w:b/>
                <w:bCs/>
                <w:color w:val="auto"/>
                <w:kern w:val="2"/>
                <w:sz w:val="21"/>
                <w:szCs w:val="21"/>
              </w:rPr>
              <w:t xml:space="preserve">  </w:t>
            </w:r>
            <w:r>
              <w:rPr>
                <w:rFonts w:hint="eastAsia" w:ascii="Times New Roman"/>
                <w:b/>
                <w:bCs/>
                <w:color w:val="auto"/>
                <w:kern w:val="2"/>
                <w:sz w:val="21"/>
                <w:szCs w:val="21"/>
              </w:rPr>
              <w:t>本</w:t>
            </w:r>
            <w:r>
              <w:rPr>
                <w:rFonts w:ascii="Times New Roman"/>
                <w:b/>
                <w:bCs/>
                <w:color w:val="auto"/>
                <w:kern w:val="2"/>
                <w:sz w:val="21"/>
                <w:szCs w:val="21"/>
              </w:rPr>
              <w:t>工程主要</w:t>
            </w:r>
            <w:r>
              <w:rPr>
                <w:rFonts w:hint="eastAsia" w:ascii="Times New Roman"/>
                <w:b/>
                <w:bCs/>
                <w:color w:val="auto"/>
                <w:kern w:val="2"/>
                <w:sz w:val="21"/>
                <w:szCs w:val="21"/>
              </w:rPr>
              <w:t>生态</w:t>
            </w:r>
            <w:r>
              <w:rPr>
                <w:rFonts w:ascii="Times New Roman"/>
                <w:b/>
                <w:bCs/>
                <w:color w:val="auto"/>
                <w:kern w:val="2"/>
                <w:sz w:val="21"/>
                <w:szCs w:val="21"/>
              </w:rPr>
              <w:t>环境保护目标一览表</w:t>
            </w:r>
          </w:p>
          <w:tbl>
            <w:tblPr>
              <w:tblStyle w:val="50"/>
              <w:tblW w:w="81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500"/>
              <w:gridCol w:w="1008"/>
              <w:gridCol w:w="912"/>
              <w:gridCol w:w="889"/>
              <w:gridCol w:w="1293"/>
              <w:gridCol w:w="885"/>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4" w:type="dxa"/>
                  <w:vMerge w:val="restart"/>
                  <w:vAlign w:val="center"/>
                </w:tcPr>
                <w:p>
                  <w:pPr>
                    <w:tabs>
                      <w:tab w:val="left" w:pos="3240"/>
                    </w:tabs>
                    <w:jc w:val="center"/>
                    <w:rPr>
                      <w:rFonts w:ascii="Times New Roman" w:hAnsi="Times New Roman"/>
                      <w:color w:val="auto"/>
                      <w:sz w:val="18"/>
                      <w:szCs w:val="18"/>
                    </w:rPr>
                  </w:pPr>
                  <w:r>
                    <w:rPr>
                      <w:rFonts w:ascii="Times New Roman"/>
                      <w:color w:val="auto"/>
                      <w:sz w:val="18"/>
                      <w:szCs w:val="18"/>
                    </w:rPr>
                    <w:t>编号</w:t>
                  </w:r>
                </w:p>
              </w:tc>
              <w:tc>
                <w:tcPr>
                  <w:tcW w:w="1500" w:type="dxa"/>
                  <w:vMerge w:val="restart"/>
                  <w:vAlign w:val="center"/>
                </w:tcPr>
                <w:p>
                  <w:pPr>
                    <w:tabs>
                      <w:tab w:val="left" w:pos="3240"/>
                    </w:tabs>
                    <w:jc w:val="center"/>
                    <w:rPr>
                      <w:rFonts w:hint="eastAsia" w:ascii="Times New Roman" w:hAnsi="Times New Roman" w:eastAsia="宋体"/>
                      <w:color w:val="auto"/>
                      <w:sz w:val="18"/>
                      <w:szCs w:val="18"/>
                      <w:lang w:eastAsia="zh-CN"/>
                    </w:rPr>
                  </w:pPr>
                  <w:r>
                    <w:rPr>
                      <w:rFonts w:hint="eastAsia" w:ascii="Times New Roman"/>
                      <w:color w:val="auto"/>
                      <w:sz w:val="18"/>
                      <w:szCs w:val="18"/>
                      <w:lang w:eastAsia="zh-CN"/>
                    </w:rPr>
                    <w:t>敏感区名称</w:t>
                  </w:r>
                </w:p>
              </w:tc>
              <w:tc>
                <w:tcPr>
                  <w:tcW w:w="1008" w:type="dxa"/>
                  <w:vMerge w:val="restart"/>
                  <w:vAlign w:val="center"/>
                </w:tcPr>
                <w:p>
                  <w:pPr>
                    <w:tabs>
                      <w:tab w:val="left" w:pos="3240"/>
                    </w:tabs>
                    <w:jc w:val="center"/>
                    <w:rPr>
                      <w:rFonts w:ascii="Times New Roman" w:hAnsi="Times New Roman"/>
                      <w:color w:val="auto"/>
                      <w:sz w:val="18"/>
                      <w:szCs w:val="18"/>
                    </w:rPr>
                  </w:pPr>
                  <w:r>
                    <w:rPr>
                      <w:rFonts w:hint="eastAsia" w:ascii="Times New Roman"/>
                      <w:color w:val="auto"/>
                      <w:sz w:val="18"/>
                      <w:szCs w:val="18"/>
                      <w:lang w:eastAsia="zh-CN"/>
                    </w:rPr>
                    <w:t>规划</w:t>
                  </w:r>
                  <w:r>
                    <w:rPr>
                      <w:rFonts w:ascii="Times New Roman"/>
                      <w:color w:val="auto"/>
                      <w:sz w:val="18"/>
                      <w:szCs w:val="18"/>
                    </w:rPr>
                    <w:t>面积</w:t>
                  </w:r>
                </w:p>
                <w:p>
                  <w:pPr>
                    <w:tabs>
                      <w:tab w:val="left" w:pos="3240"/>
                    </w:tabs>
                    <w:jc w:val="center"/>
                    <w:rPr>
                      <w:rFonts w:ascii="Times New Roman" w:hAnsi="Times New Roman"/>
                      <w:color w:val="auto"/>
                      <w:sz w:val="18"/>
                      <w:szCs w:val="18"/>
                    </w:rPr>
                  </w:pPr>
                  <w:r>
                    <w:rPr>
                      <w:rFonts w:ascii="Times New Roman"/>
                      <w:color w:val="auto"/>
                      <w:sz w:val="18"/>
                      <w:szCs w:val="18"/>
                    </w:rPr>
                    <w:t>（</w:t>
                  </w:r>
                  <w:r>
                    <w:rPr>
                      <w:rFonts w:hint="eastAsia" w:ascii="Times New Roman" w:hAnsi="Times New Roman"/>
                      <w:color w:val="auto"/>
                      <w:sz w:val="18"/>
                      <w:szCs w:val="18"/>
                      <w:lang w:val="en-US" w:eastAsia="zh-CN"/>
                    </w:rPr>
                    <w:t>h</w:t>
                  </w:r>
                  <w:r>
                    <w:rPr>
                      <w:rFonts w:ascii="Times New Roman" w:hAnsi="Times New Roman"/>
                      <w:color w:val="auto"/>
                      <w:sz w:val="18"/>
                      <w:szCs w:val="18"/>
                    </w:rPr>
                    <w:t>m</w:t>
                  </w:r>
                  <w:r>
                    <w:rPr>
                      <w:rFonts w:ascii="Times New Roman" w:hAnsi="Times New Roman"/>
                      <w:color w:val="auto"/>
                      <w:sz w:val="18"/>
                      <w:szCs w:val="18"/>
                      <w:vertAlign w:val="superscript"/>
                    </w:rPr>
                    <w:t>2</w:t>
                  </w:r>
                  <w:r>
                    <w:rPr>
                      <w:rFonts w:ascii="Times New Roman"/>
                      <w:color w:val="auto"/>
                      <w:sz w:val="18"/>
                      <w:szCs w:val="18"/>
                    </w:rPr>
                    <w:t>）</w:t>
                  </w:r>
                </w:p>
              </w:tc>
              <w:tc>
                <w:tcPr>
                  <w:tcW w:w="912" w:type="dxa"/>
                  <w:vMerge w:val="restart"/>
                  <w:vAlign w:val="center"/>
                </w:tcPr>
                <w:p>
                  <w:pPr>
                    <w:tabs>
                      <w:tab w:val="left" w:pos="3240"/>
                    </w:tabs>
                    <w:jc w:val="center"/>
                    <w:rPr>
                      <w:rFonts w:ascii="Times New Roman" w:hAnsi="Times New Roman"/>
                      <w:color w:val="auto"/>
                      <w:sz w:val="18"/>
                      <w:szCs w:val="18"/>
                    </w:rPr>
                  </w:pPr>
                  <w:r>
                    <w:rPr>
                      <w:rFonts w:hint="eastAsia" w:ascii="Times New Roman"/>
                      <w:color w:val="auto"/>
                      <w:sz w:val="18"/>
                      <w:szCs w:val="18"/>
                      <w:lang w:eastAsia="zh-CN"/>
                    </w:rPr>
                    <w:t>湿地</w:t>
                  </w:r>
                  <w:r>
                    <w:rPr>
                      <w:rFonts w:ascii="Times New Roman"/>
                      <w:color w:val="auto"/>
                      <w:sz w:val="18"/>
                      <w:szCs w:val="18"/>
                    </w:rPr>
                    <w:t>面积</w:t>
                  </w:r>
                </w:p>
                <w:p>
                  <w:pPr>
                    <w:tabs>
                      <w:tab w:val="left" w:pos="3240"/>
                    </w:tabs>
                    <w:jc w:val="center"/>
                    <w:rPr>
                      <w:rFonts w:ascii="Times New Roman"/>
                      <w:color w:val="auto"/>
                      <w:sz w:val="18"/>
                      <w:szCs w:val="18"/>
                    </w:rPr>
                  </w:pPr>
                  <w:r>
                    <w:rPr>
                      <w:rFonts w:ascii="Times New Roman"/>
                      <w:color w:val="auto"/>
                      <w:sz w:val="18"/>
                      <w:szCs w:val="18"/>
                    </w:rPr>
                    <w:t>（</w:t>
                  </w:r>
                  <w:r>
                    <w:rPr>
                      <w:rFonts w:hint="eastAsia" w:ascii="Times New Roman" w:hAnsi="Times New Roman"/>
                      <w:color w:val="auto"/>
                      <w:sz w:val="18"/>
                      <w:szCs w:val="18"/>
                      <w:lang w:val="en-US" w:eastAsia="zh-CN"/>
                    </w:rPr>
                    <w:t>h</w:t>
                  </w:r>
                  <w:r>
                    <w:rPr>
                      <w:rFonts w:ascii="Times New Roman" w:hAnsi="Times New Roman"/>
                      <w:color w:val="auto"/>
                      <w:sz w:val="18"/>
                      <w:szCs w:val="18"/>
                    </w:rPr>
                    <w:t>m</w:t>
                  </w:r>
                  <w:r>
                    <w:rPr>
                      <w:rFonts w:ascii="Times New Roman" w:hAnsi="Times New Roman"/>
                      <w:color w:val="auto"/>
                      <w:sz w:val="18"/>
                      <w:szCs w:val="18"/>
                      <w:vertAlign w:val="superscript"/>
                    </w:rPr>
                    <w:t>2</w:t>
                  </w:r>
                  <w:r>
                    <w:rPr>
                      <w:rFonts w:ascii="Times New Roman"/>
                      <w:color w:val="auto"/>
                      <w:sz w:val="18"/>
                      <w:szCs w:val="18"/>
                    </w:rPr>
                    <w:t>）</w:t>
                  </w:r>
                </w:p>
              </w:tc>
              <w:tc>
                <w:tcPr>
                  <w:tcW w:w="889" w:type="dxa"/>
                  <w:vMerge w:val="restart"/>
                  <w:vAlign w:val="center"/>
                </w:tcPr>
                <w:p>
                  <w:pPr>
                    <w:tabs>
                      <w:tab w:val="left" w:pos="3240"/>
                    </w:tabs>
                    <w:jc w:val="center"/>
                    <w:rPr>
                      <w:rFonts w:ascii="Times New Roman" w:hAnsi="Times New Roman"/>
                      <w:color w:val="auto"/>
                      <w:sz w:val="18"/>
                      <w:szCs w:val="18"/>
                    </w:rPr>
                  </w:pPr>
                  <w:r>
                    <w:rPr>
                      <w:rFonts w:ascii="Times New Roman"/>
                      <w:color w:val="auto"/>
                      <w:sz w:val="18"/>
                      <w:szCs w:val="18"/>
                    </w:rPr>
                    <w:t>所属地区</w:t>
                  </w:r>
                </w:p>
              </w:tc>
              <w:tc>
                <w:tcPr>
                  <w:tcW w:w="1293" w:type="dxa"/>
                  <w:vMerge w:val="restart"/>
                  <w:vAlign w:val="center"/>
                </w:tcPr>
                <w:p>
                  <w:pPr>
                    <w:tabs>
                      <w:tab w:val="left" w:pos="3240"/>
                    </w:tabs>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eastAsia="zh-CN"/>
                    </w:rPr>
                    <w:t>红线</w:t>
                  </w:r>
                  <w:r>
                    <w:rPr>
                      <w:rFonts w:hint="eastAsia" w:ascii="Times New Roman" w:hAnsi="Times New Roman"/>
                      <w:color w:val="auto"/>
                      <w:sz w:val="18"/>
                      <w:szCs w:val="18"/>
                    </w:rPr>
                    <w:t>属性</w:t>
                  </w:r>
                  <w:r>
                    <w:rPr>
                      <w:rFonts w:hint="eastAsia" w:ascii="Times New Roman" w:hAnsi="Times New Roman"/>
                      <w:color w:val="auto"/>
                      <w:sz w:val="18"/>
                      <w:szCs w:val="18"/>
                      <w:lang w:val="en-US" w:eastAsia="zh-CN"/>
                    </w:rPr>
                    <w:t>/</w:t>
                  </w:r>
                </w:p>
                <w:p>
                  <w:pPr>
                    <w:tabs>
                      <w:tab w:val="left" w:pos="3240"/>
                    </w:tabs>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湿地类型</w:t>
                  </w:r>
                </w:p>
              </w:tc>
              <w:tc>
                <w:tcPr>
                  <w:tcW w:w="2059" w:type="dxa"/>
                  <w:gridSpan w:val="2"/>
                  <w:vAlign w:val="center"/>
                </w:tcPr>
                <w:p>
                  <w:pPr>
                    <w:tabs>
                      <w:tab w:val="left" w:pos="3240"/>
                    </w:tabs>
                    <w:jc w:val="center"/>
                    <w:rPr>
                      <w:rFonts w:ascii="Times New Roman" w:hAnsi="Times New Roman"/>
                      <w:color w:val="auto"/>
                      <w:sz w:val="18"/>
                      <w:szCs w:val="18"/>
                    </w:rPr>
                  </w:pPr>
                  <w:r>
                    <w:rPr>
                      <w:rFonts w:ascii="Times New Roman"/>
                      <w:color w:val="auto"/>
                      <w:sz w:val="18"/>
                      <w:szCs w:val="18"/>
                    </w:rPr>
                    <w:t>本工程穿越情况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4" w:type="dxa"/>
                  <w:vMerge w:val="continue"/>
                  <w:vAlign w:val="center"/>
                </w:tcPr>
                <w:p>
                  <w:pPr>
                    <w:tabs>
                      <w:tab w:val="left" w:pos="3240"/>
                    </w:tabs>
                    <w:jc w:val="center"/>
                    <w:rPr>
                      <w:rFonts w:ascii="Times New Roman" w:hAnsi="Times New Roman"/>
                      <w:color w:val="auto"/>
                      <w:sz w:val="18"/>
                      <w:szCs w:val="18"/>
                    </w:rPr>
                  </w:pPr>
                </w:p>
              </w:tc>
              <w:tc>
                <w:tcPr>
                  <w:tcW w:w="1500" w:type="dxa"/>
                  <w:vMerge w:val="continue"/>
                  <w:vAlign w:val="center"/>
                </w:tcPr>
                <w:p>
                  <w:pPr>
                    <w:tabs>
                      <w:tab w:val="left" w:pos="3240"/>
                    </w:tabs>
                    <w:jc w:val="center"/>
                    <w:rPr>
                      <w:rFonts w:ascii="Times New Roman" w:hAnsi="Times New Roman"/>
                      <w:color w:val="auto"/>
                      <w:sz w:val="18"/>
                      <w:szCs w:val="18"/>
                    </w:rPr>
                  </w:pPr>
                </w:p>
              </w:tc>
              <w:tc>
                <w:tcPr>
                  <w:tcW w:w="1008" w:type="dxa"/>
                  <w:vMerge w:val="continue"/>
                  <w:vAlign w:val="center"/>
                </w:tcPr>
                <w:p>
                  <w:pPr>
                    <w:tabs>
                      <w:tab w:val="left" w:pos="3240"/>
                    </w:tabs>
                    <w:jc w:val="center"/>
                    <w:rPr>
                      <w:rFonts w:ascii="Times New Roman" w:hAnsi="Times New Roman"/>
                      <w:color w:val="auto"/>
                      <w:sz w:val="18"/>
                      <w:szCs w:val="18"/>
                    </w:rPr>
                  </w:pPr>
                </w:p>
              </w:tc>
              <w:tc>
                <w:tcPr>
                  <w:tcW w:w="912" w:type="dxa"/>
                  <w:vMerge w:val="continue"/>
                  <w:vAlign w:val="center"/>
                </w:tcPr>
                <w:p>
                  <w:pPr>
                    <w:tabs>
                      <w:tab w:val="left" w:pos="3240"/>
                    </w:tabs>
                    <w:jc w:val="center"/>
                    <w:rPr>
                      <w:rFonts w:ascii="Times New Roman"/>
                      <w:color w:val="auto"/>
                      <w:sz w:val="18"/>
                      <w:szCs w:val="18"/>
                    </w:rPr>
                  </w:pPr>
                </w:p>
              </w:tc>
              <w:tc>
                <w:tcPr>
                  <w:tcW w:w="889" w:type="dxa"/>
                  <w:vMerge w:val="continue"/>
                  <w:vAlign w:val="center"/>
                </w:tcPr>
                <w:p>
                  <w:pPr>
                    <w:tabs>
                      <w:tab w:val="left" w:pos="3240"/>
                    </w:tabs>
                    <w:jc w:val="center"/>
                    <w:rPr>
                      <w:rFonts w:ascii="Times New Roman" w:hAnsi="Times New Roman"/>
                      <w:color w:val="auto"/>
                      <w:sz w:val="18"/>
                      <w:szCs w:val="18"/>
                    </w:rPr>
                  </w:pPr>
                </w:p>
              </w:tc>
              <w:tc>
                <w:tcPr>
                  <w:tcW w:w="1293" w:type="dxa"/>
                  <w:vMerge w:val="continue"/>
                  <w:vAlign w:val="center"/>
                </w:tcPr>
                <w:p>
                  <w:pPr>
                    <w:tabs>
                      <w:tab w:val="left" w:pos="3240"/>
                    </w:tabs>
                    <w:jc w:val="center"/>
                    <w:rPr>
                      <w:rFonts w:ascii="Times New Roman" w:hAnsi="Times New Roman"/>
                      <w:color w:val="auto"/>
                      <w:sz w:val="18"/>
                      <w:szCs w:val="18"/>
                    </w:rPr>
                  </w:pPr>
                </w:p>
              </w:tc>
              <w:tc>
                <w:tcPr>
                  <w:tcW w:w="885" w:type="dxa"/>
                  <w:vAlign w:val="center"/>
                </w:tcPr>
                <w:p>
                  <w:pPr>
                    <w:tabs>
                      <w:tab w:val="left" w:pos="3240"/>
                    </w:tabs>
                    <w:jc w:val="center"/>
                    <w:rPr>
                      <w:rFonts w:ascii="Times New Roman" w:hAnsi="Times New Roman"/>
                      <w:color w:val="auto"/>
                      <w:sz w:val="18"/>
                      <w:szCs w:val="18"/>
                    </w:rPr>
                  </w:pPr>
                  <w:r>
                    <w:rPr>
                      <w:rFonts w:ascii="Times New Roman"/>
                      <w:color w:val="auto"/>
                      <w:sz w:val="18"/>
                      <w:szCs w:val="18"/>
                    </w:rPr>
                    <w:t>长度（</w:t>
                  </w:r>
                  <w:r>
                    <w:rPr>
                      <w:rFonts w:ascii="Times New Roman" w:hAnsi="Times New Roman"/>
                      <w:color w:val="auto"/>
                      <w:sz w:val="18"/>
                      <w:szCs w:val="18"/>
                    </w:rPr>
                    <w:t>km</w:t>
                  </w:r>
                  <w:r>
                    <w:rPr>
                      <w:rFonts w:ascii="Times New Roman"/>
                      <w:color w:val="auto"/>
                      <w:sz w:val="18"/>
                      <w:szCs w:val="18"/>
                    </w:rPr>
                    <w:t>）</w:t>
                  </w:r>
                </w:p>
              </w:tc>
              <w:tc>
                <w:tcPr>
                  <w:tcW w:w="1174" w:type="dxa"/>
                  <w:vAlign w:val="center"/>
                </w:tcPr>
                <w:p>
                  <w:pPr>
                    <w:tabs>
                      <w:tab w:val="left" w:pos="3240"/>
                    </w:tabs>
                    <w:jc w:val="center"/>
                    <w:rPr>
                      <w:rFonts w:ascii="Times New Roman" w:hAnsi="Times New Roman"/>
                      <w:color w:val="auto"/>
                      <w:sz w:val="18"/>
                      <w:szCs w:val="18"/>
                    </w:rPr>
                  </w:pPr>
                  <w:r>
                    <w:rPr>
                      <w:rFonts w:hint="eastAsia" w:ascii="Times New Roman"/>
                      <w:color w:val="auto"/>
                      <w:sz w:val="18"/>
                      <w:szCs w:val="18"/>
                      <w:lang w:eastAsia="zh-CN"/>
                    </w:rPr>
                    <w:t>拟建</w:t>
                  </w:r>
                  <w:r>
                    <w:rPr>
                      <w:rFonts w:ascii="Times New Roman"/>
                      <w:color w:val="auto"/>
                      <w:sz w:val="18"/>
                      <w:szCs w:val="18"/>
                    </w:rPr>
                    <w:t>杆塔数（基）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4" w:type="dxa"/>
                  <w:vAlign w:val="center"/>
                </w:tcPr>
                <w:p>
                  <w:pPr>
                    <w:tabs>
                      <w:tab w:val="left" w:pos="3240"/>
                    </w:tabs>
                    <w:jc w:val="center"/>
                    <w:rPr>
                      <w:rFonts w:ascii="Times New Roman" w:hAnsi="Times New Roman"/>
                      <w:color w:val="auto"/>
                      <w:sz w:val="18"/>
                      <w:szCs w:val="18"/>
                    </w:rPr>
                  </w:pPr>
                  <w:r>
                    <w:rPr>
                      <w:rFonts w:ascii="Times New Roman" w:hAnsi="Times New Roman"/>
                      <w:color w:val="auto"/>
                      <w:sz w:val="18"/>
                      <w:szCs w:val="18"/>
                    </w:rPr>
                    <w:t>1</w:t>
                  </w:r>
                </w:p>
              </w:tc>
              <w:tc>
                <w:tcPr>
                  <w:tcW w:w="1500" w:type="dxa"/>
                  <w:vAlign w:val="center"/>
                </w:tcPr>
                <w:p>
                  <w:pPr>
                    <w:tabs>
                      <w:tab w:val="left" w:pos="3240"/>
                    </w:tabs>
                    <w:jc w:val="center"/>
                    <w:rPr>
                      <w:rFonts w:ascii="Times New Roman" w:hAnsi="Times New Roman"/>
                      <w:color w:val="auto"/>
                      <w:sz w:val="18"/>
                      <w:szCs w:val="18"/>
                    </w:rPr>
                  </w:pPr>
                  <w:r>
                    <w:rPr>
                      <w:rFonts w:hint="eastAsia" w:ascii="Times New Roman" w:hAnsi="Times New Roman"/>
                      <w:color w:val="auto"/>
                      <w:sz w:val="18"/>
                      <w:szCs w:val="18"/>
                      <w:lang w:eastAsia="zh-CN"/>
                    </w:rPr>
                    <w:t>Ⅱ</w:t>
                  </w:r>
                  <w:r>
                    <w:rPr>
                      <w:rFonts w:hint="eastAsia" w:ascii="Times New Roman" w:hAnsi="Times New Roman"/>
                      <w:color w:val="auto"/>
                      <w:sz w:val="18"/>
                      <w:szCs w:val="18"/>
                    </w:rPr>
                    <w:t>1</w:t>
                  </w:r>
                  <w:r>
                    <w:rPr>
                      <w:rFonts w:ascii="Times New Roman" w:hAnsi="Times New Roman"/>
                      <w:color w:val="auto"/>
                      <w:sz w:val="18"/>
                      <w:szCs w:val="18"/>
                    </w:rPr>
                    <w:t>海南岛生物多样性保护</w:t>
                  </w:r>
                  <w:r>
                    <w:rPr>
                      <w:rFonts w:hint="eastAsia" w:ascii="宋体" w:hAnsi="宋体" w:cs="宋体"/>
                      <w:color w:val="auto"/>
                      <w:sz w:val="18"/>
                      <w:szCs w:val="18"/>
                      <w:lang w:eastAsia="zh-CN"/>
                    </w:rPr>
                    <w:t>Ⅱ</w:t>
                  </w:r>
                  <w:r>
                    <w:rPr>
                      <w:rFonts w:ascii="Times New Roman" w:hAnsi="Times New Roman"/>
                      <w:color w:val="auto"/>
                      <w:sz w:val="18"/>
                      <w:szCs w:val="18"/>
                    </w:rPr>
                    <w:t>类红线区</w:t>
                  </w:r>
                </w:p>
              </w:tc>
              <w:tc>
                <w:tcPr>
                  <w:tcW w:w="1008" w:type="dxa"/>
                  <w:vAlign w:val="center"/>
                </w:tcPr>
                <w:p>
                  <w:pPr>
                    <w:tabs>
                      <w:tab w:val="left" w:pos="3240"/>
                    </w:tabs>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9.19</w:t>
                  </w:r>
                </w:p>
              </w:tc>
              <w:tc>
                <w:tcPr>
                  <w:tcW w:w="912" w:type="dxa"/>
                  <w:vAlign w:val="center"/>
                </w:tcPr>
                <w:p>
                  <w:pPr>
                    <w:tabs>
                      <w:tab w:val="left" w:pos="3240"/>
                    </w:tabs>
                    <w:jc w:val="center"/>
                    <w:rPr>
                      <w:rFonts w:hint="eastAsia" w:ascii="Times New Roman"/>
                      <w:color w:val="auto"/>
                      <w:sz w:val="18"/>
                      <w:szCs w:val="18"/>
                      <w:lang w:eastAsia="zh-CN"/>
                    </w:rPr>
                  </w:pPr>
                  <w:r>
                    <w:rPr>
                      <w:rFonts w:hint="eastAsia" w:ascii="Times New Roman" w:hAnsi="Times New Roman"/>
                      <w:color w:val="auto"/>
                      <w:sz w:val="18"/>
                      <w:szCs w:val="18"/>
                      <w:lang w:val="en-US" w:eastAsia="zh-CN"/>
                    </w:rPr>
                    <w:t>—</w:t>
                  </w:r>
                </w:p>
              </w:tc>
              <w:tc>
                <w:tcPr>
                  <w:tcW w:w="889" w:type="dxa"/>
                  <w:vAlign w:val="center"/>
                </w:tcPr>
                <w:p>
                  <w:pPr>
                    <w:tabs>
                      <w:tab w:val="left" w:pos="3240"/>
                    </w:tabs>
                    <w:jc w:val="center"/>
                    <w:rPr>
                      <w:rFonts w:hint="eastAsia" w:ascii="Times New Roman" w:hAnsi="Times New Roman" w:eastAsia="宋体"/>
                      <w:color w:val="auto"/>
                      <w:sz w:val="18"/>
                      <w:szCs w:val="18"/>
                      <w:lang w:eastAsia="zh-CN"/>
                    </w:rPr>
                  </w:pPr>
                  <w:r>
                    <w:rPr>
                      <w:rFonts w:hint="eastAsia" w:ascii="Times New Roman"/>
                      <w:color w:val="auto"/>
                      <w:sz w:val="18"/>
                      <w:szCs w:val="18"/>
                      <w:lang w:eastAsia="zh-CN"/>
                    </w:rPr>
                    <w:t>海口市琼山区</w:t>
                  </w:r>
                </w:p>
              </w:tc>
              <w:tc>
                <w:tcPr>
                  <w:tcW w:w="1293" w:type="dxa"/>
                  <w:vAlign w:val="center"/>
                </w:tcPr>
                <w:p>
                  <w:pPr>
                    <w:tabs>
                      <w:tab w:val="left" w:pos="3240"/>
                    </w:tabs>
                    <w:jc w:val="center"/>
                    <w:rPr>
                      <w:rFonts w:ascii="Times New Roman" w:hAnsi="Times New Roman"/>
                      <w:color w:val="auto"/>
                      <w:sz w:val="18"/>
                      <w:szCs w:val="18"/>
                    </w:rPr>
                  </w:pPr>
                  <w:r>
                    <w:rPr>
                      <w:rFonts w:hint="eastAsia" w:ascii="Times New Roman" w:hAnsi="Times New Roman"/>
                      <w:color w:val="auto"/>
                      <w:sz w:val="18"/>
                      <w:szCs w:val="18"/>
                    </w:rPr>
                    <w:t>极重要生物多样性保护红线区</w:t>
                  </w:r>
                </w:p>
              </w:tc>
              <w:tc>
                <w:tcPr>
                  <w:tcW w:w="885" w:type="dxa"/>
                  <w:vAlign w:val="center"/>
                </w:tcPr>
                <w:p>
                  <w:pPr>
                    <w:tabs>
                      <w:tab w:val="left" w:pos="3240"/>
                    </w:tabs>
                    <w:jc w:val="center"/>
                    <w:rPr>
                      <w:rFonts w:hint="default" w:ascii="Times New Roman" w:hAnsi="Times New Roman" w:eastAsia="宋体"/>
                      <w:color w:val="auto"/>
                      <w:sz w:val="18"/>
                      <w:szCs w:val="18"/>
                      <w:lang w:val="en-US" w:eastAsia="zh-CN"/>
                    </w:rPr>
                  </w:pPr>
                  <w:r>
                    <w:rPr>
                      <w:rFonts w:ascii="Times New Roman" w:hAnsi="Times New Roman"/>
                      <w:color w:val="auto"/>
                      <w:sz w:val="18"/>
                      <w:szCs w:val="18"/>
                    </w:rPr>
                    <w:t>1.</w:t>
                  </w:r>
                  <w:r>
                    <w:rPr>
                      <w:rFonts w:hint="eastAsia" w:ascii="Times New Roman" w:hAnsi="Times New Roman"/>
                      <w:color w:val="auto"/>
                      <w:sz w:val="18"/>
                      <w:szCs w:val="18"/>
                      <w:lang w:val="en-US" w:eastAsia="zh-CN"/>
                    </w:rPr>
                    <w:t>33</w:t>
                  </w:r>
                </w:p>
              </w:tc>
              <w:tc>
                <w:tcPr>
                  <w:tcW w:w="1174" w:type="dxa"/>
                  <w:vAlign w:val="center"/>
                </w:tcPr>
                <w:p>
                  <w:pPr>
                    <w:tabs>
                      <w:tab w:val="left" w:pos="3240"/>
                    </w:tabs>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4" w:type="dxa"/>
                  <w:vAlign w:val="center"/>
                </w:tcPr>
                <w:p>
                  <w:pPr>
                    <w:tabs>
                      <w:tab w:val="left" w:pos="3240"/>
                    </w:tabs>
                    <w:jc w:val="center"/>
                    <w:rPr>
                      <w:rFonts w:ascii="Times New Roman" w:hAnsi="Times New Roman"/>
                      <w:color w:val="auto"/>
                      <w:sz w:val="18"/>
                      <w:szCs w:val="18"/>
                    </w:rPr>
                  </w:pPr>
                  <w:r>
                    <w:rPr>
                      <w:rFonts w:ascii="Times New Roman" w:hAnsi="Times New Roman"/>
                      <w:color w:val="auto"/>
                      <w:sz w:val="18"/>
                      <w:szCs w:val="18"/>
                    </w:rPr>
                    <w:t>2</w:t>
                  </w:r>
                </w:p>
              </w:tc>
              <w:tc>
                <w:tcPr>
                  <w:tcW w:w="1500" w:type="dxa"/>
                  <w:vAlign w:val="center"/>
                </w:tcPr>
                <w:p>
                  <w:pPr>
                    <w:tabs>
                      <w:tab w:val="left" w:pos="3240"/>
                    </w:tabs>
                    <w:jc w:val="center"/>
                    <w:rPr>
                      <w:rFonts w:ascii="Times New Roman" w:hAnsi="Times New Roman"/>
                      <w:color w:val="auto"/>
                      <w:sz w:val="18"/>
                      <w:szCs w:val="18"/>
                    </w:rPr>
                  </w:pPr>
                  <w:r>
                    <w:rPr>
                      <w:rFonts w:hint="eastAsia" w:ascii="Times New Roman" w:hAnsi="Times New Roman"/>
                      <w:color w:val="auto"/>
                      <w:sz w:val="18"/>
                      <w:szCs w:val="18"/>
                      <w:lang w:eastAsia="zh-CN"/>
                    </w:rPr>
                    <w:t>Ⅱ</w:t>
                  </w:r>
                  <w:r>
                    <w:rPr>
                      <w:rFonts w:hint="eastAsia" w:ascii="Times New Roman" w:hAnsi="Times New Roman"/>
                      <w:color w:val="auto"/>
                      <w:sz w:val="18"/>
                      <w:szCs w:val="18"/>
                    </w:rPr>
                    <w:t>2</w:t>
                  </w:r>
                  <w:r>
                    <w:rPr>
                      <w:rFonts w:ascii="Times New Roman" w:hAnsi="Times New Roman"/>
                      <w:color w:val="auto"/>
                      <w:sz w:val="18"/>
                      <w:szCs w:val="18"/>
                    </w:rPr>
                    <w:t>海南岛水源保护与水源涵养</w:t>
                  </w:r>
                  <w:r>
                    <w:rPr>
                      <w:rFonts w:hint="eastAsia" w:ascii="宋体" w:hAnsi="宋体" w:cs="宋体"/>
                      <w:color w:val="auto"/>
                      <w:sz w:val="18"/>
                      <w:szCs w:val="18"/>
                      <w:lang w:eastAsia="zh-CN"/>
                    </w:rPr>
                    <w:t>Ⅱ</w:t>
                  </w:r>
                  <w:r>
                    <w:rPr>
                      <w:rFonts w:ascii="Times New Roman" w:hAnsi="Times New Roman"/>
                      <w:color w:val="auto"/>
                      <w:sz w:val="18"/>
                      <w:szCs w:val="18"/>
                    </w:rPr>
                    <w:t>类红线区</w:t>
                  </w:r>
                </w:p>
              </w:tc>
              <w:tc>
                <w:tcPr>
                  <w:tcW w:w="1008" w:type="dxa"/>
                  <w:vAlign w:val="center"/>
                </w:tcPr>
                <w:p>
                  <w:pPr>
                    <w:tabs>
                      <w:tab w:val="left" w:pos="3240"/>
                    </w:tabs>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3.18</w:t>
                  </w:r>
                </w:p>
              </w:tc>
              <w:tc>
                <w:tcPr>
                  <w:tcW w:w="912" w:type="dxa"/>
                  <w:vAlign w:val="center"/>
                </w:tcPr>
                <w:p>
                  <w:pPr>
                    <w:tabs>
                      <w:tab w:val="left" w:pos="3240"/>
                    </w:tabs>
                    <w:jc w:val="center"/>
                    <w:rPr>
                      <w:rFonts w:hint="eastAsia" w:ascii="Times New Roman" w:hAnsi="Times New Roman"/>
                      <w:color w:val="auto"/>
                      <w:sz w:val="18"/>
                      <w:szCs w:val="18"/>
                      <w:lang w:eastAsia="zh-CN"/>
                    </w:rPr>
                  </w:pPr>
                  <w:r>
                    <w:rPr>
                      <w:rFonts w:hint="eastAsia" w:ascii="Times New Roman" w:hAnsi="Times New Roman"/>
                      <w:color w:val="auto"/>
                      <w:sz w:val="18"/>
                      <w:szCs w:val="18"/>
                      <w:lang w:val="en-US" w:eastAsia="zh-CN"/>
                    </w:rPr>
                    <w:t>—</w:t>
                  </w:r>
                </w:p>
              </w:tc>
              <w:tc>
                <w:tcPr>
                  <w:tcW w:w="889" w:type="dxa"/>
                  <w:vAlign w:val="center"/>
                </w:tcPr>
                <w:p>
                  <w:pPr>
                    <w:tabs>
                      <w:tab w:val="left" w:pos="3240"/>
                    </w:tabs>
                    <w:jc w:val="center"/>
                    <w:rPr>
                      <w:rFonts w:hint="eastAsia" w:ascii="Times New Roman" w:hAnsi="Times New Roman"/>
                      <w:color w:val="auto"/>
                      <w:sz w:val="18"/>
                      <w:szCs w:val="18"/>
                      <w:lang w:eastAsia="zh-CN"/>
                    </w:rPr>
                  </w:pPr>
                  <w:r>
                    <w:rPr>
                      <w:rFonts w:hint="eastAsia" w:ascii="Times New Roman" w:hAnsi="Times New Roman"/>
                      <w:color w:val="auto"/>
                      <w:sz w:val="18"/>
                      <w:szCs w:val="18"/>
                      <w:lang w:eastAsia="zh-CN"/>
                    </w:rPr>
                    <w:t>海口</w:t>
                  </w:r>
                  <w:r>
                    <w:rPr>
                      <w:rFonts w:ascii="Times New Roman" w:hAnsi="Times New Roman"/>
                      <w:color w:val="auto"/>
                      <w:sz w:val="18"/>
                      <w:szCs w:val="18"/>
                    </w:rPr>
                    <w:t>琼山区</w:t>
                  </w:r>
                  <w:r>
                    <w:rPr>
                      <w:rFonts w:hint="eastAsia" w:ascii="Times New Roman" w:hAnsi="Times New Roman"/>
                      <w:color w:val="auto"/>
                      <w:sz w:val="18"/>
                      <w:szCs w:val="18"/>
                      <w:lang w:eastAsia="zh-CN"/>
                    </w:rPr>
                    <w:t>和龙华区</w:t>
                  </w:r>
                </w:p>
              </w:tc>
              <w:tc>
                <w:tcPr>
                  <w:tcW w:w="1293" w:type="dxa"/>
                  <w:vAlign w:val="center"/>
                </w:tcPr>
                <w:p>
                  <w:pPr>
                    <w:tabs>
                      <w:tab w:val="left" w:pos="3240"/>
                    </w:tabs>
                    <w:jc w:val="center"/>
                    <w:rPr>
                      <w:rFonts w:ascii="Times New Roman" w:hAnsi="Times New Roman"/>
                      <w:color w:val="auto"/>
                      <w:sz w:val="18"/>
                      <w:szCs w:val="18"/>
                    </w:rPr>
                  </w:pPr>
                  <w:r>
                    <w:rPr>
                      <w:rFonts w:hint="eastAsia" w:ascii="Times New Roman" w:hAnsi="Times New Roman"/>
                      <w:color w:val="auto"/>
                      <w:sz w:val="18"/>
                      <w:szCs w:val="18"/>
                    </w:rPr>
                    <w:t>极重要水源涵养红线区</w:t>
                  </w:r>
                </w:p>
              </w:tc>
              <w:tc>
                <w:tcPr>
                  <w:tcW w:w="885" w:type="dxa"/>
                  <w:vAlign w:val="center"/>
                </w:tcPr>
                <w:p>
                  <w:pPr>
                    <w:tabs>
                      <w:tab w:val="left" w:pos="3240"/>
                    </w:tabs>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rPr>
                    <w:t>1.</w:t>
                  </w:r>
                  <w:r>
                    <w:rPr>
                      <w:rFonts w:hint="eastAsia" w:ascii="Times New Roman" w:hAnsi="Times New Roman"/>
                      <w:color w:val="auto"/>
                      <w:sz w:val="18"/>
                      <w:szCs w:val="18"/>
                      <w:lang w:val="en-US" w:eastAsia="zh-CN"/>
                    </w:rPr>
                    <w:t>65</w:t>
                  </w:r>
                </w:p>
              </w:tc>
              <w:tc>
                <w:tcPr>
                  <w:tcW w:w="1174" w:type="dxa"/>
                  <w:vAlign w:val="center"/>
                </w:tcPr>
                <w:p>
                  <w:pPr>
                    <w:tabs>
                      <w:tab w:val="left" w:pos="3240"/>
                    </w:tabs>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4" w:type="dxa"/>
                  <w:vAlign w:val="center"/>
                </w:tcPr>
                <w:p>
                  <w:pPr>
                    <w:tabs>
                      <w:tab w:val="left" w:pos="3240"/>
                    </w:tabs>
                    <w:jc w:val="center"/>
                    <w:rPr>
                      <w:rFonts w:ascii="Times New Roman" w:hAnsi="Times New Roman"/>
                      <w:color w:val="auto"/>
                      <w:sz w:val="18"/>
                      <w:szCs w:val="18"/>
                    </w:rPr>
                  </w:pPr>
                  <w:r>
                    <w:rPr>
                      <w:rFonts w:ascii="Times New Roman" w:hAnsi="Times New Roman"/>
                      <w:color w:val="auto"/>
                      <w:sz w:val="18"/>
                      <w:szCs w:val="18"/>
                    </w:rPr>
                    <w:t>3</w:t>
                  </w:r>
                </w:p>
              </w:tc>
              <w:tc>
                <w:tcPr>
                  <w:tcW w:w="1500" w:type="dxa"/>
                  <w:vAlign w:val="center"/>
                </w:tcPr>
                <w:p>
                  <w:pPr>
                    <w:tabs>
                      <w:tab w:val="left" w:pos="3240"/>
                    </w:tabs>
                    <w:jc w:val="center"/>
                    <w:rPr>
                      <w:rFonts w:ascii="Times New Roman" w:hAnsi="Times New Roman"/>
                      <w:color w:val="auto"/>
                      <w:sz w:val="18"/>
                      <w:szCs w:val="18"/>
                    </w:rPr>
                  </w:pPr>
                  <w:r>
                    <w:rPr>
                      <w:rFonts w:hint="eastAsia" w:ascii="Times New Roman" w:hAnsi="Times New Roman"/>
                      <w:color w:val="auto"/>
                      <w:sz w:val="18"/>
                      <w:szCs w:val="18"/>
                      <w:lang w:eastAsia="zh-CN"/>
                    </w:rPr>
                    <w:t>Ⅱ</w:t>
                  </w:r>
                  <w:r>
                    <w:rPr>
                      <w:rFonts w:hint="eastAsia" w:ascii="Times New Roman" w:hAnsi="Times New Roman"/>
                      <w:color w:val="auto"/>
                      <w:sz w:val="18"/>
                      <w:szCs w:val="18"/>
                    </w:rPr>
                    <w:t>1</w:t>
                  </w:r>
                  <w:r>
                    <w:rPr>
                      <w:rFonts w:ascii="Times New Roman" w:hAnsi="Times New Roman"/>
                      <w:color w:val="auto"/>
                      <w:sz w:val="18"/>
                      <w:szCs w:val="18"/>
                    </w:rPr>
                    <w:t>海南岛生物多样性保护</w:t>
                  </w:r>
                  <w:r>
                    <w:rPr>
                      <w:rFonts w:hint="eastAsia" w:ascii="宋体" w:hAnsi="宋体" w:cs="宋体"/>
                      <w:color w:val="auto"/>
                      <w:sz w:val="18"/>
                      <w:szCs w:val="18"/>
                      <w:lang w:eastAsia="zh-CN"/>
                    </w:rPr>
                    <w:t>Ⅱ</w:t>
                  </w:r>
                  <w:r>
                    <w:rPr>
                      <w:rFonts w:ascii="Times New Roman" w:hAnsi="Times New Roman"/>
                      <w:color w:val="auto"/>
                      <w:sz w:val="18"/>
                      <w:szCs w:val="18"/>
                    </w:rPr>
                    <w:t>类红线区</w:t>
                  </w:r>
                </w:p>
              </w:tc>
              <w:tc>
                <w:tcPr>
                  <w:tcW w:w="1008" w:type="dxa"/>
                  <w:vAlign w:val="center"/>
                </w:tcPr>
                <w:p>
                  <w:pPr>
                    <w:tabs>
                      <w:tab w:val="left" w:pos="3240"/>
                    </w:tabs>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11.57</w:t>
                  </w:r>
                </w:p>
              </w:tc>
              <w:tc>
                <w:tcPr>
                  <w:tcW w:w="912" w:type="dxa"/>
                  <w:vAlign w:val="center"/>
                </w:tcPr>
                <w:p>
                  <w:pPr>
                    <w:tabs>
                      <w:tab w:val="left" w:pos="3240"/>
                    </w:tabs>
                    <w:jc w:val="center"/>
                    <w:rPr>
                      <w:rFonts w:hint="eastAsia" w:ascii="Times New Roman" w:hAnsi="Times New Roman"/>
                      <w:color w:val="auto"/>
                      <w:sz w:val="18"/>
                      <w:szCs w:val="18"/>
                      <w:lang w:eastAsia="zh-CN"/>
                    </w:rPr>
                  </w:pPr>
                  <w:r>
                    <w:rPr>
                      <w:rFonts w:hint="eastAsia" w:ascii="Times New Roman" w:hAnsi="Times New Roman"/>
                      <w:color w:val="auto"/>
                      <w:sz w:val="18"/>
                      <w:szCs w:val="18"/>
                      <w:lang w:val="en-US" w:eastAsia="zh-CN"/>
                    </w:rPr>
                    <w:t>—</w:t>
                  </w:r>
                </w:p>
              </w:tc>
              <w:tc>
                <w:tcPr>
                  <w:tcW w:w="889" w:type="dxa"/>
                  <w:vAlign w:val="center"/>
                </w:tcPr>
                <w:p>
                  <w:pPr>
                    <w:tabs>
                      <w:tab w:val="left" w:pos="3240"/>
                    </w:tabs>
                    <w:jc w:val="center"/>
                    <w:rPr>
                      <w:rFonts w:ascii="Times New Roman" w:hAnsi="Times New Roman"/>
                      <w:color w:val="auto"/>
                      <w:sz w:val="18"/>
                      <w:szCs w:val="18"/>
                    </w:rPr>
                  </w:pPr>
                  <w:r>
                    <w:rPr>
                      <w:rFonts w:hint="eastAsia" w:ascii="Times New Roman" w:hAnsi="Times New Roman"/>
                      <w:color w:val="auto"/>
                      <w:sz w:val="18"/>
                      <w:szCs w:val="18"/>
                      <w:lang w:eastAsia="zh-CN"/>
                    </w:rPr>
                    <w:t>海口</w:t>
                  </w:r>
                  <w:r>
                    <w:rPr>
                      <w:rFonts w:ascii="Times New Roman" w:hAnsi="Times New Roman"/>
                      <w:color w:val="auto"/>
                      <w:sz w:val="18"/>
                      <w:szCs w:val="18"/>
                    </w:rPr>
                    <w:t>琼山区</w:t>
                  </w:r>
                </w:p>
              </w:tc>
              <w:tc>
                <w:tcPr>
                  <w:tcW w:w="1293" w:type="dxa"/>
                  <w:vAlign w:val="center"/>
                </w:tcPr>
                <w:p>
                  <w:pPr>
                    <w:tabs>
                      <w:tab w:val="left" w:pos="3240"/>
                    </w:tabs>
                    <w:jc w:val="center"/>
                    <w:rPr>
                      <w:rFonts w:ascii="Times New Roman" w:hAnsi="Times New Roman"/>
                      <w:color w:val="auto"/>
                      <w:sz w:val="18"/>
                      <w:szCs w:val="18"/>
                    </w:rPr>
                  </w:pPr>
                  <w:r>
                    <w:rPr>
                      <w:rFonts w:hint="eastAsia" w:ascii="Times New Roman" w:hAnsi="Times New Roman"/>
                      <w:color w:val="auto"/>
                      <w:sz w:val="18"/>
                      <w:szCs w:val="18"/>
                    </w:rPr>
                    <w:t>极重要生物多样性保护红线区</w:t>
                  </w:r>
                </w:p>
              </w:tc>
              <w:tc>
                <w:tcPr>
                  <w:tcW w:w="885" w:type="dxa"/>
                  <w:vAlign w:val="center"/>
                </w:tcPr>
                <w:p>
                  <w:pPr>
                    <w:tabs>
                      <w:tab w:val="left" w:pos="3240"/>
                    </w:tabs>
                    <w:jc w:val="center"/>
                    <w:rPr>
                      <w:rFonts w:hint="default" w:ascii="Times New Roman" w:hAnsi="Times New Roman" w:eastAsia="宋体"/>
                      <w:color w:val="auto"/>
                      <w:sz w:val="18"/>
                      <w:szCs w:val="18"/>
                      <w:lang w:val="en-US" w:eastAsia="zh-CN"/>
                    </w:rPr>
                  </w:pPr>
                  <w:r>
                    <w:rPr>
                      <w:rFonts w:ascii="Times New Roman" w:hAnsi="Times New Roman"/>
                      <w:color w:val="auto"/>
                      <w:sz w:val="18"/>
                      <w:szCs w:val="18"/>
                    </w:rPr>
                    <w:t>0.</w:t>
                  </w:r>
                  <w:r>
                    <w:rPr>
                      <w:rFonts w:hint="eastAsia" w:ascii="Times New Roman" w:hAnsi="Times New Roman"/>
                      <w:color w:val="auto"/>
                      <w:sz w:val="18"/>
                      <w:szCs w:val="18"/>
                      <w:lang w:val="en-US" w:eastAsia="zh-CN"/>
                    </w:rPr>
                    <w:t>18</w:t>
                  </w:r>
                </w:p>
              </w:tc>
              <w:tc>
                <w:tcPr>
                  <w:tcW w:w="1174" w:type="dxa"/>
                  <w:vAlign w:val="center"/>
                </w:tcPr>
                <w:p>
                  <w:pPr>
                    <w:tabs>
                      <w:tab w:val="left" w:pos="3240"/>
                    </w:tabs>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一档跨越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4" w:type="dxa"/>
                  <w:vAlign w:val="center"/>
                </w:tcPr>
                <w:p>
                  <w:pPr>
                    <w:tabs>
                      <w:tab w:val="left" w:pos="3240"/>
                    </w:tabs>
                    <w:jc w:val="center"/>
                    <w:rPr>
                      <w:rFonts w:ascii="Times New Roman" w:hAnsi="Times New Roman"/>
                      <w:color w:val="auto"/>
                      <w:sz w:val="18"/>
                      <w:szCs w:val="18"/>
                    </w:rPr>
                  </w:pPr>
                  <w:r>
                    <w:rPr>
                      <w:rFonts w:ascii="Times New Roman" w:hAnsi="Times New Roman"/>
                      <w:color w:val="auto"/>
                      <w:sz w:val="18"/>
                      <w:szCs w:val="18"/>
                    </w:rPr>
                    <w:t>4</w:t>
                  </w:r>
                </w:p>
              </w:tc>
              <w:tc>
                <w:tcPr>
                  <w:tcW w:w="1500" w:type="dxa"/>
                  <w:vAlign w:val="center"/>
                </w:tcPr>
                <w:p>
                  <w:pPr>
                    <w:tabs>
                      <w:tab w:val="left" w:pos="3240"/>
                    </w:tabs>
                    <w:jc w:val="center"/>
                    <w:rPr>
                      <w:rFonts w:ascii="Times New Roman" w:hAnsi="Times New Roman"/>
                      <w:color w:val="auto"/>
                      <w:sz w:val="18"/>
                      <w:szCs w:val="18"/>
                    </w:rPr>
                  </w:pPr>
                  <w:r>
                    <w:rPr>
                      <w:rFonts w:hint="eastAsia" w:ascii="Times New Roman" w:hAnsi="Times New Roman"/>
                      <w:color w:val="auto"/>
                      <w:sz w:val="18"/>
                      <w:szCs w:val="18"/>
                      <w:lang w:eastAsia="zh-CN"/>
                    </w:rPr>
                    <w:t>Ⅱ</w:t>
                  </w:r>
                  <w:r>
                    <w:rPr>
                      <w:rFonts w:hint="eastAsia" w:ascii="Times New Roman" w:hAnsi="Times New Roman"/>
                      <w:color w:val="auto"/>
                      <w:sz w:val="18"/>
                      <w:szCs w:val="18"/>
                    </w:rPr>
                    <w:t>2</w:t>
                  </w:r>
                  <w:r>
                    <w:rPr>
                      <w:rFonts w:ascii="Times New Roman" w:hAnsi="Times New Roman"/>
                      <w:color w:val="auto"/>
                      <w:sz w:val="18"/>
                      <w:szCs w:val="18"/>
                    </w:rPr>
                    <w:t>海南岛水源保护与水源涵养</w:t>
                  </w:r>
                  <w:r>
                    <w:rPr>
                      <w:rFonts w:hint="eastAsia" w:ascii="宋体" w:hAnsi="宋体" w:cs="宋体"/>
                      <w:color w:val="auto"/>
                      <w:sz w:val="18"/>
                      <w:szCs w:val="18"/>
                      <w:lang w:eastAsia="zh-CN"/>
                    </w:rPr>
                    <w:t>Ⅱ</w:t>
                  </w:r>
                  <w:r>
                    <w:rPr>
                      <w:rFonts w:ascii="Times New Roman" w:hAnsi="Times New Roman"/>
                      <w:color w:val="auto"/>
                      <w:sz w:val="18"/>
                      <w:szCs w:val="18"/>
                    </w:rPr>
                    <w:t>类红线区</w:t>
                  </w:r>
                </w:p>
              </w:tc>
              <w:tc>
                <w:tcPr>
                  <w:tcW w:w="1008" w:type="dxa"/>
                  <w:vAlign w:val="center"/>
                </w:tcPr>
                <w:p>
                  <w:pPr>
                    <w:tabs>
                      <w:tab w:val="left" w:pos="3240"/>
                    </w:tabs>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11.11</w:t>
                  </w:r>
                </w:p>
              </w:tc>
              <w:tc>
                <w:tcPr>
                  <w:tcW w:w="912" w:type="dxa"/>
                  <w:vAlign w:val="center"/>
                </w:tcPr>
                <w:p>
                  <w:pPr>
                    <w:tabs>
                      <w:tab w:val="left" w:pos="3240"/>
                    </w:tabs>
                    <w:jc w:val="center"/>
                    <w:rPr>
                      <w:rFonts w:hint="eastAsia" w:ascii="Times New Roman" w:hAnsi="Times New Roman"/>
                      <w:color w:val="auto"/>
                      <w:sz w:val="18"/>
                      <w:szCs w:val="18"/>
                      <w:lang w:eastAsia="zh-CN"/>
                    </w:rPr>
                  </w:pPr>
                  <w:r>
                    <w:rPr>
                      <w:rFonts w:hint="eastAsia" w:ascii="Times New Roman" w:hAnsi="Times New Roman"/>
                      <w:color w:val="auto"/>
                      <w:sz w:val="18"/>
                      <w:szCs w:val="18"/>
                      <w:lang w:val="en-US" w:eastAsia="zh-CN"/>
                    </w:rPr>
                    <w:t>—</w:t>
                  </w:r>
                </w:p>
              </w:tc>
              <w:tc>
                <w:tcPr>
                  <w:tcW w:w="889" w:type="dxa"/>
                  <w:vAlign w:val="center"/>
                </w:tcPr>
                <w:p>
                  <w:pPr>
                    <w:tabs>
                      <w:tab w:val="left" w:pos="3240"/>
                    </w:tabs>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lang w:eastAsia="zh-CN"/>
                    </w:rPr>
                    <w:t>海口</w:t>
                  </w:r>
                  <w:r>
                    <w:rPr>
                      <w:rFonts w:ascii="Times New Roman" w:hAnsi="Times New Roman"/>
                      <w:color w:val="auto"/>
                      <w:sz w:val="18"/>
                      <w:szCs w:val="18"/>
                    </w:rPr>
                    <w:t>琼山区</w:t>
                  </w:r>
                </w:p>
              </w:tc>
              <w:tc>
                <w:tcPr>
                  <w:tcW w:w="1293" w:type="dxa"/>
                  <w:vAlign w:val="center"/>
                </w:tcPr>
                <w:p>
                  <w:pPr>
                    <w:tabs>
                      <w:tab w:val="left" w:pos="3240"/>
                    </w:tabs>
                    <w:jc w:val="center"/>
                    <w:rPr>
                      <w:rFonts w:ascii="Times New Roman" w:hAnsi="Times New Roman"/>
                      <w:color w:val="auto"/>
                      <w:sz w:val="18"/>
                      <w:szCs w:val="18"/>
                    </w:rPr>
                  </w:pPr>
                  <w:r>
                    <w:rPr>
                      <w:rFonts w:hint="eastAsia" w:ascii="Times New Roman" w:hAnsi="Times New Roman"/>
                      <w:color w:val="auto"/>
                      <w:sz w:val="18"/>
                      <w:szCs w:val="18"/>
                    </w:rPr>
                    <w:t>极重要水源涵养红线区</w:t>
                  </w:r>
                </w:p>
              </w:tc>
              <w:tc>
                <w:tcPr>
                  <w:tcW w:w="885" w:type="dxa"/>
                  <w:vAlign w:val="center"/>
                </w:tcPr>
                <w:p>
                  <w:pPr>
                    <w:tabs>
                      <w:tab w:val="left" w:pos="3240"/>
                    </w:tabs>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3.6</w:t>
                  </w:r>
                </w:p>
              </w:tc>
              <w:tc>
                <w:tcPr>
                  <w:tcW w:w="1174" w:type="dxa"/>
                  <w:vAlign w:val="center"/>
                </w:tcPr>
                <w:p>
                  <w:pPr>
                    <w:tabs>
                      <w:tab w:val="left" w:pos="3240"/>
                    </w:tabs>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10*</w:t>
                  </w:r>
                  <w:r>
                    <w:rPr>
                      <w:rFonts w:hint="eastAsia" w:ascii="Times New Roman" w:hAnsi="Times New Roman"/>
                      <w:color w:val="auto"/>
                      <w:sz w:val="18"/>
                      <w:szCs w:val="18"/>
                      <w:vertAlign w:val="superscript"/>
                      <w:lang w:val="en-US" w:eastAsia="zh-CN"/>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4" w:type="dxa"/>
                  <w:vAlign w:val="center"/>
                </w:tcPr>
                <w:p>
                  <w:pPr>
                    <w:tabs>
                      <w:tab w:val="left" w:pos="3240"/>
                    </w:tabs>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5</w:t>
                  </w:r>
                </w:p>
              </w:tc>
              <w:tc>
                <w:tcPr>
                  <w:tcW w:w="1500" w:type="dxa"/>
                  <w:vAlign w:val="center"/>
                </w:tcPr>
                <w:p>
                  <w:pPr>
                    <w:tabs>
                      <w:tab w:val="left" w:pos="3240"/>
                    </w:tabs>
                    <w:jc w:val="center"/>
                    <w:rPr>
                      <w:rFonts w:hint="eastAsia" w:ascii="Times New Roman" w:hAnsi="Times New Roman"/>
                      <w:color w:val="auto"/>
                      <w:sz w:val="18"/>
                      <w:szCs w:val="18"/>
                      <w:lang w:eastAsia="zh-CN"/>
                    </w:rPr>
                  </w:pPr>
                  <w:r>
                    <w:rPr>
                      <w:rFonts w:hint="eastAsia" w:ascii="Times New Roman" w:hAnsi="Times New Roman"/>
                      <w:color w:val="auto"/>
                      <w:sz w:val="18"/>
                      <w:szCs w:val="18"/>
                      <w:lang w:eastAsia="zh-CN"/>
                    </w:rPr>
                    <w:t>羊山湿地多用途管理区</w:t>
                  </w:r>
                </w:p>
              </w:tc>
              <w:tc>
                <w:tcPr>
                  <w:tcW w:w="1008" w:type="dxa"/>
                  <w:vAlign w:val="center"/>
                </w:tcPr>
                <w:p>
                  <w:pPr>
                    <w:tabs>
                      <w:tab w:val="left" w:pos="3240"/>
                    </w:tabs>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36983.00</w:t>
                  </w:r>
                </w:p>
              </w:tc>
              <w:tc>
                <w:tcPr>
                  <w:tcW w:w="912" w:type="dxa"/>
                  <w:vAlign w:val="center"/>
                </w:tcPr>
                <w:p>
                  <w:pPr>
                    <w:tabs>
                      <w:tab w:val="left" w:pos="3240"/>
                    </w:tabs>
                    <w:jc w:val="center"/>
                    <w:rPr>
                      <w:rFonts w:hint="eastAsia" w:ascii="Times New Roman" w:hAnsi="Times New Roman"/>
                      <w:color w:val="auto"/>
                      <w:sz w:val="18"/>
                      <w:szCs w:val="18"/>
                      <w:lang w:eastAsia="zh-CN"/>
                    </w:rPr>
                  </w:pPr>
                  <w:r>
                    <w:rPr>
                      <w:rFonts w:hint="eastAsia" w:ascii="Times New Roman" w:hAnsi="Times New Roman"/>
                      <w:color w:val="auto"/>
                      <w:sz w:val="18"/>
                      <w:szCs w:val="18"/>
                      <w:lang w:val="en-US" w:eastAsia="zh-CN"/>
                    </w:rPr>
                    <w:t>83.86*</w:t>
                  </w:r>
                  <w:r>
                    <w:rPr>
                      <w:rFonts w:hint="eastAsia" w:ascii="Times New Roman" w:hAnsi="Times New Roman"/>
                      <w:color w:val="auto"/>
                      <w:sz w:val="18"/>
                      <w:szCs w:val="18"/>
                      <w:vertAlign w:val="superscript"/>
                      <w:lang w:val="en-US" w:eastAsia="zh-CN"/>
                    </w:rPr>
                    <w:t>②</w:t>
                  </w:r>
                </w:p>
              </w:tc>
              <w:tc>
                <w:tcPr>
                  <w:tcW w:w="889" w:type="dxa"/>
                  <w:vAlign w:val="center"/>
                </w:tcPr>
                <w:p>
                  <w:pPr>
                    <w:tabs>
                      <w:tab w:val="left" w:pos="3240"/>
                    </w:tabs>
                    <w:jc w:val="center"/>
                    <w:rPr>
                      <w:rFonts w:hint="eastAsia" w:ascii="Times New Roman" w:hAnsi="Times New Roman"/>
                      <w:color w:val="auto"/>
                      <w:sz w:val="18"/>
                      <w:szCs w:val="18"/>
                      <w:lang w:eastAsia="zh-CN"/>
                    </w:rPr>
                  </w:pPr>
                  <w:r>
                    <w:rPr>
                      <w:rFonts w:hint="eastAsia" w:ascii="Times New Roman"/>
                      <w:color w:val="auto"/>
                      <w:sz w:val="18"/>
                      <w:szCs w:val="18"/>
                      <w:lang w:eastAsia="zh-CN"/>
                    </w:rPr>
                    <w:t>海口市秀英区、龙华区和琼山区</w:t>
                  </w:r>
                </w:p>
              </w:tc>
              <w:tc>
                <w:tcPr>
                  <w:tcW w:w="1293" w:type="dxa"/>
                  <w:vAlign w:val="center"/>
                </w:tcPr>
                <w:p>
                  <w:pPr>
                    <w:tabs>
                      <w:tab w:val="left" w:pos="3240"/>
                    </w:tabs>
                    <w:jc w:val="center"/>
                    <w:rPr>
                      <w:rFonts w:hint="eastAsia" w:ascii="Times New Roman" w:hAnsi="Times New Roman"/>
                      <w:color w:val="auto"/>
                      <w:sz w:val="18"/>
                      <w:szCs w:val="18"/>
                    </w:rPr>
                  </w:pPr>
                  <w:r>
                    <w:rPr>
                      <w:rFonts w:hint="eastAsia" w:ascii="Times New Roman" w:hAnsi="Times New Roman"/>
                      <w:color w:val="auto"/>
                      <w:sz w:val="18"/>
                      <w:szCs w:val="18"/>
                      <w:lang w:eastAsia="zh-CN"/>
                    </w:rPr>
                    <w:t>库塘、永久性河流、永久性淡水湖</w:t>
                  </w:r>
                </w:p>
              </w:tc>
              <w:tc>
                <w:tcPr>
                  <w:tcW w:w="885" w:type="dxa"/>
                  <w:vAlign w:val="center"/>
                </w:tcPr>
                <w:p>
                  <w:pPr>
                    <w:tabs>
                      <w:tab w:val="left" w:pos="3240"/>
                    </w:tabs>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14</w:t>
                  </w:r>
                </w:p>
              </w:tc>
              <w:tc>
                <w:tcPr>
                  <w:tcW w:w="1174" w:type="dxa"/>
                  <w:vAlign w:val="center"/>
                </w:tcPr>
                <w:p>
                  <w:pPr>
                    <w:tabs>
                      <w:tab w:val="left" w:pos="3240"/>
                    </w:tabs>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4" w:type="dxa"/>
                  <w:vAlign w:val="center"/>
                </w:tcPr>
                <w:p>
                  <w:pPr>
                    <w:tabs>
                      <w:tab w:val="left" w:pos="3240"/>
                    </w:tabs>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6</w:t>
                  </w:r>
                </w:p>
              </w:tc>
              <w:tc>
                <w:tcPr>
                  <w:tcW w:w="1500" w:type="dxa"/>
                  <w:vAlign w:val="center"/>
                </w:tcPr>
                <w:p>
                  <w:pPr>
                    <w:tabs>
                      <w:tab w:val="left" w:pos="3240"/>
                    </w:tabs>
                    <w:jc w:val="center"/>
                    <w:rPr>
                      <w:rFonts w:hint="eastAsia" w:ascii="Times New Roman" w:hAnsi="Times New Roman"/>
                      <w:color w:val="auto"/>
                      <w:sz w:val="18"/>
                      <w:szCs w:val="18"/>
                      <w:lang w:eastAsia="zh-CN"/>
                    </w:rPr>
                  </w:pPr>
                  <w:r>
                    <w:rPr>
                      <w:rFonts w:hint="eastAsia" w:ascii="Times New Roman" w:hAnsi="Times New Roman"/>
                      <w:color w:val="auto"/>
                      <w:sz w:val="18"/>
                      <w:szCs w:val="18"/>
                      <w:lang w:eastAsia="zh-CN"/>
                    </w:rPr>
                    <w:t>海口三十六曲溪省级湿地公园</w:t>
                  </w:r>
                </w:p>
              </w:tc>
              <w:tc>
                <w:tcPr>
                  <w:tcW w:w="1008" w:type="dxa"/>
                  <w:vAlign w:val="center"/>
                </w:tcPr>
                <w:p>
                  <w:pPr>
                    <w:tabs>
                      <w:tab w:val="left" w:pos="3240"/>
                    </w:tabs>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316.70</w:t>
                  </w:r>
                </w:p>
              </w:tc>
              <w:tc>
                <w:tcPr>
                  <w:tcW w:w="912" w:type="dxa"/>
                  <w:vAlign w:val="center"/>
                </w:tcPr>
                <w:p>
                  <w:pPr>
                    <w:tabs>
                      <w:tab w:val="left" w:pos="3240"/>
                    </w:tabs>
                    <w:jc w:val="center"/>
                    <w:rPr>
                      <w:rFonts w:hint="eastAsia" w:ascii="Times New Roman" w:hAnsi="Times New Roman"/>
                      <w:color w:val="auto"/>
                      <w:sz w:val="18"/>
                      <w:szCs w:val="18"/>
                      <w:lang w:eastAsia="zh-CN"/>
                    </w:rPr>
                  </w:pPr>
                  <w:r>
                    <w:rPr>
                      <w:rFonts w:hint="eastAsia" w:ascii="Times New Roman" w:hAnsi="Times New Roman"/>
                      <w:color w:val="auto"/>
                      <w:sz w:val="18"/>
                      <w:szCs w:val="18"/>
                      <w:lang w:val="en-US" w:eastAsia="zh-CN"/>
                    </w:rPr>
                    <w:t>274.55</w:t>
                  </w:r>
                </w:p>
              </w:tc>
              <w:tc>
                <w:tcPr>
                  <w:tcW w:w="889" w:type="dxa"/>
                  <w:vAlign w:val="center"/>
                </w:tcPr>
                <w:p>
                  <w:pPr>
                    <w:tabs>
                      <w:tab w:val="left" w:pos="3240"/>
                    </w:tabs>
                    <w:jc w:val="center"/>
                    <w:rPr>
                      <w:rFonts w:hint="eastAsia" w:ascii="Times New Roman" w:hAnsi="Times New Roman"/>
                      <w:color w:val="auto"/>
                      <w:sz w:val="18"/>
                      <w:szCs w:val="18"/>
                      <w:lang w:eastAsia="zh-CN"/>
                    </w:rPr>
                  </w:pPr>
                  <w:r>
                    <w:rPr>
                      <w:rFonts w:hint="eastAsia" w:ascii="Times New Roman"/>
                      <w:color w:val="auto"/>
                      <w:sz w:val="18"/>
                      <w:szCs w:val="18"/>
                      <w:lang w:eastAsia="zh-CN"/>
                    </w:rPr>
                    <w:t>海口市琼山区</w:t>
                  </w:r>
                </w:p>
              </w:tc>
              <w:tc>
                <w:tcPr>
                  <w:tcW w:w="1293" w:type="dxa"/>
                  <w:vAlign w:val="center"/>
                </w:tcPr>
                <w:p>
                  <w:pPr>
                    <w:tabs>
                      <w:tab w:val="left" w:pos="3240"/>
                    </w:tabs>
                    <w:jc w:val="center"/>
                    <w:rPr>
                      <w:rFonts w:hint="eastAsia" w:ascii="Times New Roman" w:hAnsi="Times New Roman"/>
                      <w:color w:val="auto"/>
                      <w:sz w:val="18"/>
                      <w:szCs w:val="18"/>
                    </w:rPr>
                  </w:pPr>
                  <w:r>
                    <w:rPr>
                      <w:rFonts w:hint="eastAsia" w:ascii="Times New Roman" w:hAnsi="Times New Roman"/>
                      <w:color w:val="auto"/>
                      <w:sz w:val="18"/>
                      <w:szCs w:val="18"/>
                      <w:lang w:eastAsia="zh-CN"/>
                    </w:rPr>
                    <w:t>永久性河流、沼泽</w:t>
                  </w:r>
                </w:p>
              </w:tc>
              <w:tc>
                <w:tcPr>
                  <w:tcW w:w="885" w:type="dxa"/>
                  <w:vAlign w:val="center"/>
                </w:tcPr>
                <w:p>
                  <w:pPr>
                    <w:tabs>
                      <w:tab w:val="left" w:pos="3240"/>
                    </w:tabs>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0.8</w:t>
                  </w:r>
                </w:p>
              </w:tc>
              <w:tc>
                <w:tcPr>
                  <w:tcW w:w="1174" w:type="dxa"/>
                  <w:vAlign w:val="center"/>
                </w:tcPr>
                <w:p>
                  <w:pPr>
                    <w:tabs>
                      <w:tab w:val="left" w:pos="3240"/>
                    </w:tabs>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eastAsia="zh-CN"/>
                    </w:rPr>
                    <w:t>跨越</w:t>
                  </w:r>
                  <w:r>
                    <w:rPr>
                      <w:rFonts w:hint="eastAsia" w:ascii="Times New Roman" w:hAnsi="Times New Roman"/>
                      <w:color w:val="auto"/>
                      <w:sz w:val="18"/>
                      <w:szCs w:val="18"/>
                      <w:lang w:val="en-US" w:eastAsia="zh-CN"/>
                    </w:rPr>
                    <w:t>3次</w:t>
                  </w:r>
                  <w:r>
                    <w:rPr>
                      <w:rFonts w:hint="eastAsia" w:ascii="Times New Roman" w:hAnsi="Times New Roman"/>
                      <w:color w:val="auto"/>
                      <w:sz w:val="18"/>
                      <w:szCs w:val="18"/>
                      <w:lang w:eastAsia="zh-CN"/>
                    </w:rPr>
                    <w:t>，均一档跨越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4" w:type="dxa"/>
                  <w:vAlign w:val="center"/>
                </w:tcPr>
                <w:p>
                  <w:pPr>
                    <w:tabs>
                      <w:tab w:val="left" w:pos="3240"/>
                    </w:tabs>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7</w:t>
                  </w:r>
                </w:p>
              </w:tc>
              <w:tc>
                <w:tcPr>
                  <w:tcW w:w="1500" w:type="dxa"/>
                  <w:vAlign w:val="center"/>
                </w:tcPr>
                <w:p>
                  <w:pPr>
                    <w:tabs>
                      <w:tab w:val="left" w:pos="3240"/>
                    </w:tabs>
                    <w:jc w:val="center"/>
                    <w:rPr>
                      <w:rFonts w:hint="eastAsia" w:ascii="Times New Roman" w:hAnsi="Times New Roman"/>
                      <w:color w:val="auto"/>
                      <w:sz w:val="18"/>
                      <w:szCs w:val="18"/>
                      <w:lang w:eastAsia="zh-CN"/>
                    </w:rPr>
                  </w:pPr>
                  <w:r>
                    <w:rPr>
                      <w:rFonts w:hint="eastAsia" w:ascii="Times New Roman" w:hAnsi="Times New Roman"/>
                      <w:color w:val="auto"/>
                      <w:sz w:val="18"/>
                      <w:szCs w:val="18"/>
                      <w:lang w:eastAsia="zh-CN"/>
                    </w:rPr>
                    <w:t>新旧沟湿地保护小区（市级重要湿地）</w:t>
                  </w:r>
                </w:p>
              </w:tc>
              <w:tc>
                <w:tcPr>
                  <w:tcW w:w="1008" w:type="dxa"/>
                  <w:vAlign w:val="center"/>
                </w:tcPr>
                <w:p>
                  <w:pPr>
                    <w:tabs>
                      <w:tab w:val="left" w:pos="3240"/>
                    </w:tabs>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326.34</w:t>
                  </w:r>
                </w:p>
              </w:tc>
              <w:tc>
                <w:tcPr>
                  <w:tcW w:w="912" w:type="dxa"/>
                  <w:vAlign w:val="center"/>
                </w:tcPr>
                <w:p>
                  <w:pPr>
                    <w:tabs>
                      <w:tab w:val="left" w:pos="3240"/>
                    </w:tabs>
                    <w:jc w:val="center"/>
                    <w:rPr>
                      <w:rFonts w:hint="eastAsia" w:ascii="Times New Roman" w:hAnsi="Times New Roman"/>
                      <w:color w:val="auto"/>
                      <w:sz w:val="18"/>
                      <w:szCs w:val="18"/>
                      <w:lang w:eastAsia="zh-CN"/>
                    </w:rPr>
                  </w:pPr>
                  <w:r>
                    <w:rPr>
                      <w:rFonts w:hint="eastAsia" w:ascii="Times New Roman" w:hAnsi="Times New Roman"/>
                      <w:color w:val="auto"/>
                      <w:sz w:val="18"/>
                      <w:szCs w:val="18"/>
                      <w:lang w:val="en-US" w:eastAsia="zh-CN"/>
                    </w:rPr>
                    <w:t>181.3</w:t>
                  </w:r>
                </w:p>
              </w:tc>
              <w:tc>
                <w:tcPr>
                  <w:tcW w:w="889" w:type="dxa"/>
                  <w:vMerge w:val="restart"/>
                  <w:vAlign w:val="center"/>
                </w:tcPr>
                <w:p>
                  <w:pPr>
                    <w:tabs>
                      <w:tab w:val="left" w:pos="3240"/>
                    </w:tabs>
                    <w:jc w:val="center"/>
                    <w:rPr>
                      <w:rFonts w:hint="eastAsia" w:ascii="Times New Roman" w:hAnsi="Times New Roman"/>
                      <w:color w:val="auto"/>
                      <w:sz w:val="18"/>
                      <w:szCs w:val="18"/>
                      <w:lang w:eastAsia="zh-CN"/>
                    </w:rPr>
                  </w:pPr>
                  <w:r>
                    <w:rPr>
                      <w:rFonts w:hint="eastAsia" w:ascii="Times New Roman"/>
                      <w:color w:val="auto"/>
                      <w:sz w:val="18"/>
                      <w:szCs w:val="18"/>
                      <w:lang w:eastAsia="zh-CN"/>
                    </w:rPr>
                    <w:t>海口市龙华区和琼山区</w:t>
                  </w:r>
                </w:p>
              </w:tc>
              <w:tc>
                <w:tcPr>
                  <w:tcW w:w="1293" w:type="dxa"/>
                  <w:vMerge w:val="restart"/>
                  <w:vAlign w:val="center"/>
                </w:tcPr>
                <w:p>
                  <w:pPr>
                    <w:tabs>
                      <w:tab w:val="left" w:pos="3240"/>
                    </w:tabs>
                    <w:jc w:val="center"/>
                    <w:rPr>
                      <w:rFonts w:hint="eastAsia" w:ascii="Times New Roman" w:hAnsi="Times New Roman"/>
                      <w:color w:val="auto"/>
                      <w:sz w:val="18"/>
                      <w:szCs w:val="18"/>
                    </w:rPr>
                  </w:pPr>
                  <w:r>
                    <w:rPr>
                      <w:rFonts w:hint="eastAsia" w:ascii="Times New Roman" w:hAnsi="Times New Roman"/>
                      <w:color w:val="auto"/>
                      <w:sz w:val="18"/>
                      <w:szCs w:val="18"/>
                      <w:lang w:eastAsia="zh-CN"/>
                    </w:rPr>
                    <w:t>库塘</w:t>
                  </w:r>
                </w:p>
              </w:tc>
              <w:tc>
                <w:tcPr>
                  <w:tcW w:w="885" w:type="dxa"/>
                  <w:vAlign w:val="center"/>
                </w:tcPr>
                <w:p>
                  <w:pPr>
                    <w:tabs>
                      <w:tab w:val="left" w:pos="3240"/>
                    </w:tabs>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0.17</w:t>
                  </w:r>
                </w:p>
              </w:tc>
              <w:tc>
                <w:tcPr>
                  <w:tcW w:w="1174" w:type="dxa"/>
                  <w:vAlign w:val="center"/>
                </w:tcPr>
                <w:p>
                  <w:pPr>
                    <w:tabs>
                      <w:tab w:val="left" w:pos="3240"/>
                    </w:tabs>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eastAsia="zh-CN"/>
                    </w:rPr>
                    <w:t>一档跨越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4" w:type="dxa"/>
                  <w:vAlign w:val="center"/>
                </w:tcPr>
                <w:p>
                  <w:pPr>
                    <w:tabs>
                      <w:tab w:val="left" w:pos="3240"/>
                    </w:tabs>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8</w:t>
                  </w:r>
                </w:p>
              </w:tc>
              <w:tc>
                <w:tcPr>
                  <w:tcW w:w="1500" w:type="dxa"/>
                  <w:vAlign w:val="center"/>
                </w:tcPr>
                <w:p>
                  <w:pPr>
                    <w:tabs>
                      <w:tab w:val="left" w:pos="3240"/>
                    </w:tabs>
                    <w:jc w:val="center"/>
                    <w:rPr>
                      <w:rFonts w:hint="eastAsia" w:ascii="Times New Roman" w:hAnsi="Times New Roman"/>
                      <w:color w:val="auto"/>
                      <w:sz w:val="18"/>
                      <w:szCs w:val="18"/>
                      <w:lang w:eastAsia="zh-CN"/>
                    </w:rPr>
                  </w:pPr>
                  <w:r>
                    <w:rPr>
                      <w:rFonts w:hint="eastAsia" w:ascii="Times New Roman" w:hAnsi="Times New Roman"/>
                      <w:color w:val="auto"/>
                      <w:sz w:val="18"/>
                      <w:szCs w:val="18"/>
                      <w:lang w:eastAsia="zh-CN"/>
                    </w:rPr>
                    <w:t>新旧沟湿地乡村公园（市级湿地公园）</w:t>
                  </w:r>
                </w:p>
              </w:tc>
              <w:tc>
                <w:tcPr>
                  <w:tcW w:w="1008" w:type="dxa"/>
                  <w:vAlign w:val="center"/>
                </w:tcPr>
                <w:p>
                  <w:pPr>
                    <w:tabs>
                      <w:tab w:val="left" w:pos="3240"/>
                    </w:tabs>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1637.58</w:t>
                  </w:r>
                </w:p>
              </w:tc>
              <w:tc>
                <w:tcPr>
                  <w:tcW w:w="912" w:type="dxa"/>
                  <w:vAlign w:val="center"/>
                </w:tcPr>
                <w:p>
                  <w:pPr>
                    <w:tabs>
                      <w:tab w:val="left" w:pos="3240"/>
                    </w:tabs>
                    <w:jc w:val="center"/>
                    <w:rPr>
                      <w:rFonts w:hint="eastAsia" w:ascii="Times New Roman" w:hAnsi="Times New Roman"/>
                      <w:color w:val="auto"/>
                      <w:sz w:val="18"/>
                      <w:szCs w:val="18"/>
                      <w:lang w:eastAsia="zh-CN"/>
                    </w:rPr>
                  </w:pPr>
                  <w:r>
                    <w:rPr>
                      <w:rFonts w:hint="eastAsia" w:ascii="Times New Roman"/>
                      <w:color w:val="auto"/>
                      <w:sz w:val="18"/>
                      <w:szCs w:val="18"/>
                      <w:lang w:eastAsia="zh-CN"/>
                    </w:rPr>
                    <w:t>—</w:t>
                  </w:r>
                </w:p>
              </w:tc>
              <w:tc>
                <w:tcPr>
                  <w:tcW w:w="889" w:type="dxa"/>
                  <w:vMerge w:val="continue"/>
                  <w:vAlign w:val="center"/>
                </w:tcPr>
                <w:p>
                  <w:pPr>
                    <w:tabs>
                      <w:tab w:val="left" w:pos="3240"/>
                    </w:tabs>
                    <w:jc w:val="center"/>
                    <w:rPr>
                      <w:rFonts w:hint="eastAsia" w:ascii="Times New Roman" w:hAnsi="Times New Roman"/>
                      <w:color w:val="auto"/>
                      <w:sz w:val="18"/>
                      <w:szCs w:val="18"/>
                      <w:lang w:eastAsia="zh-CN"/>
                    </w:rPr>
                  </w:pPr>
                </w:p>
              </w:tc>
              <w:tc>
                <w:tcPr>
                  <w:tcW w:w="1293" w:type="dxa"/>
                  <w:vMerge w:val="continue"/>
                  <w:vAlign w:val="center"/>
                </w:tcPr>
                <w:p>
                  <w:pPr>
                    <w:tabs>
                      <w:tab w:val="left" w:pos="3240"/>
                    </w:tabs>
                    <w:jc w:val="center"/>
                    <w:rPr>
                      <w:rFonts w:hint="eastAsia" w:ascii="Times New Roman" w:hAnsi="Times New Roman"/>
                      <w:color w:val="auto"/>
                      <w:sz w:val="18"/>
                      <w:szCs w:val="18"/>
                    </w:rPr>
                  </w:pPr>
                </w:p>
              </w:tc>
              <w:tc>
                <w:tcPr>
                  <w:tcW w:w="885" w:type="dxa"/>
                  <w:vAlign w:val="center"/>
                </w:tcPr>
                <w:p>
                  <w:pPr>
                    <w:tabs>
                      <w:tab w:val="left" w:pos="3240"/>
                    </w:tabs>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3.6</w:t>
                  </w:r>
                </w:p>
              </w:tc>
              <w:tc>
                <w:tcPr>
                  <w:tcW w:w="1174" w:type="dxa"/>
                  <w:vAlign w:val="center"/>
                </w:tcPr>
                <w:p>
                  <w:pPr>
                    <w:tabs>
                      <w:tab w:val="left" w:pos="3240"/>
                    </w:tabs>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4" w:type="dxa"/>
                  <w:vAlign w:val="center"/>
                </w:tcPr>
                <w:p>
                  <w:pPr>
                    <w:tabs>
                      <w:tab w:val="left" w:pos="3240"/>
                    </w:tabs>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9</w:t>
                  </w:r>
                </w:p>
              </w:tc>
              <w:tc>
                <w:tcPr>
                  <w:tcW w:w="1500" w:type="dxa"/>
                  <w:vAlign w:val="center"/>
                </w:tcPr>
                <w:p>
                  <w:pPr>
                    <w:tabs>
                      <w:tab w:val="left" w:pos="3240"/>
                    </w:tabs>
                    <w:jc w:val="center"/>
                    <w:rPr>
                      <w:rFonts w:hint="eastAsia" w:ascii="Times New Roman" w:hAnsi="Times New Roman"/>
                      <w:color w:val="auto"/>
                      <w:sz w:val="18"/>
                      <w:szCs w:val="18"/>
                      <w:lang w:eastAsia="zh-CN"/>
                    </w:rPr>
                  </w:pPr>
                  <w:r>
                    <w:rPr>
                      <w:rFonts w:hint="eastAsia" w:ascii="Times New Roman" w:hAnsi="Times New Roman"/>
                      <w:color w:val="auto"/>
                      <w:sz w:val="18"/>
                      <w:szCs w:val="18"/>
                      <w:lang w:eastAsia="zh-CN"/>
                    </w:rPr>
                    <w:t>海口响水河省级湿地公园</w:t>
                  </w:r>
                </w:p>
              </w:tc>
              <w:tc>
                <w:tcPr>
                  <w:tcW w:w="1008" w:type="dxa"/>
                  <w:vAlign w:val="center"/>
                </w:tcPr>
                <w:p>
                  <w:pPr>
                    <w:tabs>
                      <w:tab w:val="left" w:pos="3240"/>
                    </w:tabs>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330.92</w:t>
                  </w:r>
                </w:p>
              </w:tc>
              <w:tc>
                <w:tcPr>
                  <w:tcW w:w="912" w:type="dxa"/>
                  <w:vAlign w:val="center"/>
                </w:tcPr>
                <w:p>
                  <w:pPr>
                    <w:tabs>
                      <w:tab w:val="left" w:pos="3240"/>
                    </w:tabs>
                    <w:jc w:val="center"/>
                    <w:rPr>
                      <w:rFonts w:hint="eastAsia" w:ascii="Times New Roman"/>
                      <w:color w:val="auto"/>
                      <w:sz w:val="18"/>
                      <w:szCs w:val="18"/>
                      <w:lang w:eastAsia="zh-CN"/>
                    </w:rPr>
                  </w:pPr>
                  <w:r>
                    <w:rPr>
                      <w:rFonts w:hint="eastAsia" w:ascii="Times New Roman" w:hAnsi="Times New Roman"/>
                      <w:color w:val="auto"/>
                      <w:sz w:val="18"/>
                      <w:szCs w:val="18"/>
                      <w:lang w:val="en-US" w:eastAsia="zh-CN"/>
                    </w:rPr>
                    <w:t>215.65</w:t>
                  </w:r>
                </w:p>
              </w:tc>
              <w:tc>
                <w:tcPr>
                  <w:tcW w:w="889" w:type="dxa"/>
                  <w:vAlign w:val="center"/>
                </w:tcPr>
                <w:p>
                  <w:pPr>
                    <w:tabs>
                      <w:tab w:val="left" w:pos="3240"/>
                    </w:tabs>
                    <w:jc w:val="center"/>
                    <w:rPr>
                      <w:rFonts w:hint="eastAsia" w:ascii="Times New Roman" w:hAnsi="Times New Roman"/>
                      <w:color w:val="auto"/>
                      <w:sz w:val="18"/>
                      <w:szCs w:val="18"/>
                      <w:lang w:eastAsia="zh-CN"/>
                    </w:rPr>
                  </w:pPr>
                  <w:r>
                    <w:rPr>
                      <w:rFonts w:hint="eastAsia" w:ascii="Times New Roman"/>
                      <w:color w:val="auto"/>
                      <w:sz w:val="18"/>
                      <w:szCs w:val="18"/>
                      <w:lang w:eastAsia="zh-CN"/>
                    </w:rPr>
                    <w:t>海口市龙华区和琼山区</w:t>
                  </w:r>
                </w:p>
              </w:tc>
              <w:tc>
                <w:tcPr>
                  <w:tcW w:w="1293" w:type="dxa"/>
                  <w:vAlign w:val="center"/>
                </w:tcPr>
                <w:p>
                  <w:pPr>
                    <w:tabs>
                      <w:tab w:val="left" w:pos="3240"/>
                    </w:tabs>
                    <w:jc w:val="center"/>
                    <w:rPr>
                      <w:rFonts w:hint="eastAsia" w:ascii="Times New Roman" w:hAnsi="Times New Roman"/>
                      <w:color w:val="auto"/>
                      <w:sz w:val="18"/>
                      <w:szCs w:val="18"/>
                    </w:rPr>
                  </w:pPr>
                  <w:r>
                    <w:rPr>
                      <w:rFonts w:hint="eastAsia" w:ascii="Times New Roman" w:hAnsi="Times New Roman"/>
                      <w:color w:val="auto"/>
                      <w:sz w:val="18"/>
                      <w:szCs w:val="18"/>
                      <w:lang w:eastAsia="zh-CN"/>
                    </w:rPr>
                    <w:t>永久性河流、沼泽</w:t>
                  </w:r>
                </w:p>
              </w:tc>
              <w:tc>
                <w:tcPr>
                  <w:tcW w:w="885" w:type="dxa"/>
                  <w:vAlign w:val="center"/>
                </w:tcPr>
                <w:p>
                  <w:pPr>
                    <w:tabs>
                      <w:tab w:val="left" w:pos="3240"/>
                    </w:tabs>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最近距离约750m</w:t>
                  </w:r>
                </w:p>
              </w:tc>
              <w:tc>
                <w:tcPr>
                  <w:tcW w:w="1174" w:type="dxa"/>
                  <w:vAlign w:val="center"/>
                </w:tcPr>
                <w:p>
                  <w:pPr>
                    <w:tabs>
                      <w:tab w:val="left" w:pos="3240"/>
                    </w:tabs>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94" w:type="dxa"/>
                  <w:gridSpan w:val="2"/>
                  <w:vAlign w:val="center"/>
                </w:tcPr>
                <w:p>
                  <w:pPr>
                    <w:tabs>
                      <w:tab w:val="left" w:pos="3240"/>
                    </w:tabs>
                    <w:jc w:val="center"/>
                    <w:rPr>
                      <w:rFonts w:ascii="Times New Roman" w:hAnsi="Times New Roman"/>
                      <w:color w:val="auto"/>
                      <w:sz w:val="18"/>
                      <w:szCs w:val="18"/>
                    </w:rPr>
                  </w:pPr>
                  <w:r>
                    <w:rPr>
                      <w:rFonts w:ascii="Times New Roman"/>
                      <w:color w:val="auto"/>
                      <w:sz w:val="18"/>
                      <w:szCs w:val="18"/>
                    </w:rPr>
                    <w:t>合计</w:t>
                  </w:r>
                </w:p>
              </w:tc>
              <w:tc>
                <w:tcPr>
                  <w:tcW w:w="1008" w:type="dxa"/>
                  <w:vAlign w:val="center"/>
                </w:tcPr>
                <w:p>
                  <w:pPr>
                    <w:tabs>
                      <w:tab w:val="left" w:pos="3240"/>
                    </w:tabs>
                    <w:jc w:val="center"/>
                    <w:rPr>
                      <w:rFonts w:ascii="Times New Roman" w:hAnsi="Times New Roman"/>
                      <w:color w:val="auto"/>
                      <w:sz w:val="18"/>
                      <w:szCs w:val="18"/>
                    </w:rPr>
                  </w:pPr>
                  <w:r>
                    <w:rPr>
                      <w:rFonts w:ascii="Times New Roman" w:hAnsi="Times New Roman"/>
                      <w:color w:val="auto"/>
                      <w:sz w:val="18"/>
                      <w:szCs w:val="18"/>
                    </w:rPr>
                    <w:t>/</w:t>
                  </w:r>
                </w:p>
              </w:tc>
              <w:tc>
                <w:tcPr>
                  <w:tcW w:w="912" w:type="dxa"/>
                  <w:vAlign w:val="center"/>
                </w:tcPr>
                <w:p>
                  <w:pPr>
                    <w:tabs>
                      <w:tab w:val="left" w:pos="3240"/>
                    </w:tabs>
                    <w:jc w:val="center"/>
                    <w:rPr>
                      <w:rFonts w:ascii="Times New Roman" w:hAnsi="Times New Roman"/>
                      <w:color w:val="auto"/>
                      <w:sz w:val="18"/>
                      <w:szCs w:val="18"/>
                    </w:rPr>
                  </w:pPr>
                  <w:r>
                    <w:rPr>
                      <w:rFonts w:ascii="Times New Roman" w:hAnsi="Times New Roman"/>
                      <w:color w:val="auto"/>
                      <w:sz w:val="18"/>
                      <w:szCs w:val="18"/>
                    </w:rPr>
                    <w:t>/</w:t>
                  </w:r>
                </w:p>
              </w:tc>
              <w:tc>
                <w:tcPr>
                  <w:tcW w:w="889" w:type="dxa"/>
                  <w:vAlign w:val="center"/>
                </w:tcPr>
                <w:p>
                  <w:pPr>
                    <w:tabs>
                      <w:tab w:val="left" w:pos="3240"/>
                    </w:tabs>
                    <w:jc w:val="center"/>
                    <w:rPr>
                      <w:rFonts w:ascii="Times New Roman" w:hAnsi="Times New Roman"/>
                      <w:color w:val="auto"/>
                      <w:sz w:val="18"/>
                      <w:szCs w:val="18"/>
                    </w:rPr>
                  </w:pPr>
                  <w:r>
                    <w:rPr>
                      <w:rFonts w:ascii="Times New Roman" w:hAnsi="Times New Roman"/>
                      <w:color w:val="auto"/>
                      <w:sz w:val="18"/>
                      <w:szCs w:val="18"/>
                    </w:rPr>
                    <w:t>/</w:t>
                  </w:r>
                </w:p>
              </w:tc>
              <w:tc>
                <w:tcPr>
                  <w:tcW w:w="1293" w:type="dxa"/>
                  <w:vAlign w:val="center"/>
                </w:tcPr>
                <w:p>
                  <w:pPr>
                    <w:tabs>
                      <w:tab w:val="left" w:pos="3240"/>
                    </w:tabs>
                    <w:jc w:val="center"/>
                    <w:rPr>
                      <w:rFonts w:ascii="Times New Roman" w:hAnsi="Times New Roman"/>
                      <w:color w:val="auto"/>
                      <w:sz w:val="18"/>
                      <w:szCs w:val="18"/>
                    </w:rPr>
                  </w:pPr>
                  <w:r>
                    <w:rPr>
                      <w:rFonts w:ascii="Times New Roman" w:hAnsi="Times New Roman"/>
                      <w:color w:val="auto"/>
                      <w:sz w:val="18"/>
                      <w:szCs w:val="18"/>
                    </w:rPr>
                    <w:t>/</w:t>
                  </w:r>
                </w:p>
              </w:tc>
              <w:tc>
                <w:tcPr>
                  <w:tcW w:w="885" w:type="dxa"/>
                  <w:vAlign w:val="center"/>
                </w:tcPr>
                <w:p>
                  <w:pPr>
                    <w:tabs>
                      <w:tab w:val="left" w:pos="3240"/>
                    </w:tabs>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14.8</w:t>
                  </w:r>
                </w:p>
              </w:tc>
              <w:tc>
                <w:tcPr>
                  <w:tcW w:w="1174" w:type="dxa"/>
                  <w:vAlign w:val="center"/>
                </w:tcPr>
                <w:p>
                  <w:pPr>
                    <w:tabs>
                      <w:tab w:val="left" w:pos="3240"/>
                    </w:tabs>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44</w:t>
                  </w:r>
                </w:p>
              </w:tc>
            </w:tr>
          </w:tbl>
          <w:p>
            <w:pPr>
              <w:pStyle w:val="23"/>
              <w:spacing w:line="360" w:lineRule="auto"/>
              <w:ind w:firstLine="420" w:firstLineChars="200"/>
              <w:rPr>
                <w:rFonts w:hint="eastAsia" w:ascii="Times New Roman"/>
                <w:color w:val="auto"/>
                <w:sz w:val="21"/>
                <w:szCs w:val="21"/>
                <w:lang w:eastAsia="zh-CN"/>
              </w:rPr>
            </w:pPr>
            <w:r>
              <w:rPr>
                <w:rFonts w:ascii="Times New Roman"/>
                <w:color w:val="auto"/>
                <w:sz w:val="21"/>
                <w:szCs w:val="21"/>
              </w:rPr>
              <w:t>上表中</w:t>
            </w:r>
            <w:r>
              <w:rPr>
                <w:rFonts w:hint="eastAsia" w:ascii="Times New Roman"/>
                <w:color w:val="auto"/>
                <w:sz w:val="21"/>
                <w:szCs w:val="21"/>
                <w:lang w:eastAsia="zh-CN"/>
              </w:rPr>
              <w:t>编号</w:t>
            </w:r>
            <w:r>
              <w:rPr>
                <w:rFonts w:ascii="Times New Roman"/>
                <w:color w:val="auto"/>
                <w:sz w:val="21"/>
                <w:szCs w:val="21"/>
              </w:rPr>
              <w:t>1为</w:t>
            </w:r>
            <w:r>
              <w:rPr>
                <w:rFonts w:hint="eastAsia" w:ascii="Times New Roman"/>
                <w:color w:val="auto"/>
                <w:sz w:val="21"/>
                <w:szCs w:val="21"/>
                <w:lang w:eastAsia="zh-CN"/>
              </w:rPr>
              <w:t>海南海口响水河省级湿地公园（最近距离约</w:t>
            </w:r>
            <w:r>
              <w:rPr>
                <w:rFonts w:hint="eastAsia" w:ascii="Times New Roman"/>
                <w:color w:val="auto"/>
                <w:sz w:val="21"/>
                <w:szCs w:val="21"/>
                <w:lang w:val="en-US" w:eastAsia="zh-CN"/>
              </w:rPr>
              <w:t>750m</w:t>
            </w:r>
            <w:r>
              <w:rPr>
                <w:rFonts w:hint="eastAsia" w:ascii="Times New Roman"/>
                <w:color w:val="auto"/>
                <w:sz w:val="21"/>
                <w:szCs w:val="21"/>
                <w:lang w:eastAsia="zh-CN"/>
              </w:rPr>
              <w:t>）的极重要生物多样性保护红线区</w:t>
            </w:r>
            <w:r>
              <w:rPr>
                <w:rFonts w:ascii="Times New Roman"/>
                <w:color w:val="auto"/>
                <w:sz w:val="21"/>
                <w:szCs w:val="21"/>
              </w:rPr>
              <w:t>、</w:t>
            </w:r>
            <w:r>
              <w:rPr>
                <w:rFonts w:hint="eastAsia" w:ascii="Times New Roman"/>
                <w:color w:val="auto"/>
                <w:sz w:val="21"/>
                <w:szCs w:val="21"/>
                <w:lang w:eastAsia="zh-CN"/>
              </w:rPr>
              <w:t>编号</w:t>
            </w:r>
            <w:r>
              <w:rPr>
                <w:rFonts w:ascii="Times New Roman"/>
                <w:color w:val="auto"/>
                <w:sz w:val="21"/>
                <w:szCs w:val="21"/>
              </w:rPr>
              <w:t>2为</w:t>
            </w:r>
            <w:r>
              <w:rPr>
                <w:rFonts w:hint="eastAsia" w:ascii="Times New Roman"/>
                <w:color w:val="auto"/>
                <w:sz w:val="21"/>
                <w:szCs w:val="21"/>
                <w:lang w:eastAsia="zh-CN"/>
              </w:rPr>
              <w:t>南渡江支流</w:t>
            </w:r>
            <w:r>
              <w:rPr>
                <w:rFonts w:ascii="Times New Roman"/>
                <w:color w:val="auto"/>
                <w:sz w:val="21"/>
                <w:szCs w:val="21"/>
              </w:rPr>
              <w:t>的重要</w:t>
            </w:r>
            <w:r>
              <w:rPr>
                <w:rFonts w:hint="eastAsia" w:ascii="Times New Roman"/>
                <w:color w:val="auto"/>
                <w:sz w:val="21"/>
                <w:szCs w:val="21"/>
                <w:lang w:eastAsia="zh-CN"/>
              </w:rPr>
              <w:t>水源涵养区、编号3为新旧沟湿地乡村公园的重要生物多样性保护红线区，其与新旧沟湿地乡村公园规划范围部分重合，编号</w:t>
            </w:r>
            <w:r>
              <w:rPr>
                <w:rFonts w:hint="eastAsia" w:ascii="Times New Roman"/>
                <w:color w:val="auto"/>
                <w:sz w:val="21"/>
                <w:szCs w:val="21"/>
                <w:lang w:val="en-US" w:eastAsia="zh-CN"/>
              </w:rPr>
              <w:t>4</w:t>
            </w:r>
            <w:r>
              <w:rPr>
                <w:rFonts w:hint="eastAsia" w:ascii="Times New Roman"/>
                <w:color w:val="auto"/>
                <w:sz w:val="21"/>
                <w:szCs w:val="21"/>
                <w:lang w:eastAsia="zh-CN"/>
              </w:rPr>
              <w:t>为海口三十六曲溪省级湿地公园、南渡江龙塘饮用水水源保护区及新旧沟湿地乡村公园的重要水源涵养红线区，其与这</w:t>
            </w:r>
            <w:r>
              <w:rPr>
                <w:rFonts w:hint="eastAsia" w:ascii="Times New Roman"/>
                <w:color w:val="auto"/>
                <w:sz w:val="21"/>
                <w:szCs w:val="21"/>
                <w:lang w:val="en-US" w:eastAsia="zh-CN"/>
              </w:rPr>
              <w:t>2个湿地公园及饮用水水源保护区的规划范围均有重合</w:t>
            </w:r>
            <w:r>
              <w:rPr>
                <w:rFonts w:hint="eastAsia" w:ascii="Times New Roman"/>
                <w:color w:val="auto"/>
                <w:sz w:val="21"/>
                <w:szCs w:val="21"/>
                <w:lang w:eastAsia="zh-CN"/>
              </w:rPr>
              <w:t>。</w:t>
            </w:r>
          </w:p>
          <w:p>
            <w:pPr>
              <w:pStyle w:val="23"/>
              <w:spacing w:line="360" w:lineRule="auto"/>
              <w:ind w:firstLine="420" w:firstLineChars="200"/>
              <w:rPr>
                <w:rFonts w:hint="default" w:ascii="Times New Roman"/>
                <w:color w:val="auto"/>
                <w:sz w:val="21"/>
                <w:szCs w:val="21"/>
                <w:lang w:val="en-US" w:eastAsia="zh-CN"/>
              </w:rPr>
            </w:pPr>
            <w:r>
              <w:rPr>
                <w:rFonts w:hint="eastAsia" w:ascii="Times New Roman"/>
                <w:color w:val="auto"/>
                <w:sz w:val="21"/>
                <w:szCs w:val="21"/>
                <w:lang w:val="en-US" w:eastAsia="zh-CN"/>
              </w:rPr>
              <w:t>*①</w:t>
            </w:r>
            <w:r>
              <w:rPr>
                <w:rFonts w:hint="eastAsia" w:ascii="Times New Roman"/>
                <w:color w:val="auto"/>
                <w:sz w:val="21"/>
                <w:szCs w:val="21"/>
                <w:lang w:eastAsia="zh-CN"/>
              </w:rPr>
              <w:t>在编号</w:t>
            </w:r>
            <w:r>
              <w:rPr>
                <w:rFonts w:hint="eastAsia" w:ascii="Times New Roman"/>
                <w:color w:val="auto"/>
                <w:sz w:val="21"/>
                <w:szCs w:val="21"/>
                <w:lang w:val="en-US" w:eastAsia="zh-CN"/>
              </w:rPr>
              <w:t>4的</w:t>
            </w:r>
            <w:r>
              <w:rPr>
                <w:rFonts w:hint="eastAsia" w:ascii="Times New Roman"/>
                <w:color w:val="auto"/>
                <w:sz w:val="21"/>
                <w:szCs w:val="21"/>
                <w:lang w:eastAsia="zh-CN"/>
              </w:rPr>
              <w:t>红线区内拟立塔</w:t>
            </w:r>
            <w:r>
              <w:rPr>
                <w:rFonts w:hint="eastAsia" w:ascii="Times New Roman"/>
                <w:color w:val="auto"/>
                <w:sz w:val="21"/>
                <w:szCs w:val="21"/>
                <w:lang w:val="en-US" w:eastAsia="zh-CN"/>
              </w:rPr>
              <w:t>10基，这10基塔也位于</w:t>
            </w:r>
            <w:r>
              <w:rPr>
                <w:rFonts w:hint="eastAsia" w:ascii="Times New Roman"/>
                <w:color w:val="auto"/>
                <w:sz w:val="21"/>
                <w:szCs w:val="21"/>
                <w:lang w:eastAsia="zh-CN"/>
              </w:rPr>
              <w:t>南渡江龙塘饮用水水源保护区内，</w:t>
            </w:r>
            <w:r>
              <w:rPr>
                <w:rFonts w:hint="eastAsia" w:ascii="Times New Roman"/>
                <w:color w:val="auto"/>
                <w:sz w:val="21"/>
                <w:szCs w:val="21"/>
                <w:lang w:val="en-US" w:eastAsia="zh-CN"/>
              </w:rPr>
              <w:t>其中的5基也位于</w:t>
            </w:r>
            <w:r>
              <w:rPr>
                <w:rFonts w:hint="eastAsia" w:ascii="Times New Roman"/>
                <w:color w:val="auto"/>
                <w:sz w:val="21"/>
                <w:szCs w:val="21"/>
                <w:lang w:eastAsia="zh-CN"/>
              </w:rPr>
              <w:t>新旧沟湿地乡村公园。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color w:val="auto"/>
                <w:lang w:val="en-US" w:eastAsia="zh-CN"/>
              </w:rPr>
            </w:pPr>
            <w:r>
              <w:rPr>
                <w:rFonts w:hint="eastAsia" w:ascii="Times New Roman"/>
                <w:color w:val="auto"/>
                <w:sz w:val="21"/>
                <w:szCs w:val="21"/>
                <w:lang w:val="en-US" w:eastAsia="zh-CN"/>
              </w:rPr>
              <w:t>*</w:t>
            </w:r>
            <w:r>
              <w:rPr>
                <w:rFonts w:hint="eastAsia" w:ascii="Times New Roman"/>
                <w:color w:val="auto"/>
                <w:lang w:val="en-US" w:eastAsia="zh-CN"/>
              </w:rPr>
              <w:t>②</w:t>
            </w:r>
            <w:r>
              <w:rPr>
                <w:rFonts w:hint="default" w:ascii="Times New Roman" w:hAnsi="Calibri" w:eastAsia="宋体" w:cs="Times New Roman"/>
                <w:color w:val="auto"/>
                <w:kern w:val="2"/>
                <w:sz w:val="21"/>
                <w:szCs w:val="21"/>
                <w:lang w:val="en-US" w:eastAsia="zh-CN" w:bidi="ar-SA"/>
              </w:rPr>
              <w:t>羊山湿地多用途管理区</w:t>
            </w:r>
            <w:r>
              <w:rPr>
                <w:rFonts w:hint="eastAsia" w:ascii="Times New Roman" w:hAnsi="Calibri" w:cs="Times New Roman"/>
                <w:color w:val="auto"/>
                <w:kern w:val="2"/>
                <w:sz w:val="21"/>
                <w:szCs w:val="21"/>
                <w:lang w:val="en-US" w:eastAsia="zh-CN" w:bidi="ar-SA"/>
              </w:rPr>
              <w:t>规划范围包含</w:t>
            </w:r>
            <w:r>
              <w:rPr>
                <w:rFonts w:hint="eastAsia" w:ascii="Times New Roman" w:hAnsi="Calibri" w:eastAsia="宋体" w:cs="Times New Roman"/>
                <w:color w:val="auto"/>
                <w:kern w:val="2"/>
                <w:sz w:val="21"/>
                <w:szCs w:val="21"/>
                <w:lang w:val="en-US" w:eastAsia="zh-CN" w:bidi="ar-SA"/>
              </w:rPr>
              <w:t>海口响水河省级湿地公园</w:t>
            </w:r>
            <w:r>
              <w:rPr>
                <w:rFonts w:hint="eastAsia" w:ascii="Times New Roman" w:hAnsi="Calibri" w:cs="Times New Roman"/>
                <w:color w:val="auto"/>
                <w:kern w:val="2"/>
                <w:sz w:val="21"/>
                <w:szCs w:val="21"/>
                <w:lang w:val="en-US" w:eastAsia="zh-CN" w:bidi="ar-SA"/>
              </w:rPr>
              <w:t>、新旧沟</w:t>
            </w:r>
            <w:r>
              <w:rPr>
                <w:rFonts w:hint="eastAsia" w:ascii="Times New Roman" w:hAnsi="Calibri" w:eastAsia="宋体" w:cs="Times New Roman"/>
                <w:color w:val="auto"/>
                <w:kern w:val="2"/>
                <w:sz w:val="21"/>
                <w:szCs w:val="21"/>
                <w:lang w:val="en-US" w:eastAsia="zh-CN" w:bidi="ar-SA"/>
              </w:rPr>
              <w:t>湿地</w:t>
            </w:r>
            <w:r>
              <w:rPr>
                <w:rFonts w:hint="eastAsia" w:ascii="Times New Roman" w:hAnsi="Calibri" w:cs="Times New Roman"/>
                <w:color w:val="auto"/>
                <w:kern w:val="2"/>
                <w:sz w:val="21"/>
                <w:szCs w:val="21"/>
                <w:lang w:val="en-US" w:eastAsia="zh-CN" w:bidi="ar-SA"/>
              </w:rPr>
              <w:t>乡村</w:t>
            </w:r>
            <w:r>
              <w:rPr>
                <w:rFonts w:hint="eastAsia" w:ascii="Times New Roman" w:hAnsi="Calibri" w:eastAsia="宋体" w:cs="Times New Roman"/>
                <w:color w:val="auto"/>
                <w:kern w:val="2"/>
                <w:sz w:val="21"/>
                <w:szCs w:val="21"/>
                <w:lang w:val="en-US" w:eastAsia="zh-CN" w:bidi="ar-SA"/>
              </w:rPr>
              <w:t>公园</w:t>
            </w:r>
            <w:r>
              <w:rPr>
                <w:rFonts w:hint="eastAsia" w:ascii="Times New Roman" w:hAnsi="Calibri" w:cs="Times New Roman"/>
                <w:color w:val="auto"/>
                <w:kern w:val="2"/>
                <w:sz w:val="21"/>
                <w:szCs w:val="21"/>
                <w:lang w:val="en-US" w:eastAsia="zh-CN" w:bidi="ar-SA"/>
              </w:rPr>
              <w:t>，并</w:t>
            </w:r>
            <w:r>
              <w:rPr>
                <w:rFonts w:hint="eastAsia" w:ascii="Times New Roman" w:hAnsi="Calibri" w:eastAsia="宋体" w:cs="Times New Roman"/>
                <w:color w:val="auto"/>
                <w:kern w:val="2"/>
                <w:sz w:val="21"/>
                <w:szCs w:val="21"/>
                <w:lang w:val="en-US" w:eastAsia="zh-CN" w:bidi="ar-SA"/>
              </w:rPr>
              <w:t>与4处海南省省级生态保护红线区</w:t>
            </w:r>
            <w:r>
              <w:rPr>
                <w:rFonts w:hint="eastAsia" w:ascii="Times New Roman" w:hAnsi="Calibri" w:cs="Times New Roman"/>
                <w:color w:val="auto"/>
                <w:kern w:val="2"/>
                <w:sz w:val="21"/>
                <w:szCs w:val="21"/>
                <w:lang w:val="en-US" w:eastAsia="zh-CN" w:bidi="ar-SA"/>
              </w:rPr>
              <w:t>、</w:t>
            </w:r>
            <w:r>
              <w:rPr>
                <w:rFonts w:hint="eastAsia" w:ascii="Times New Roman"/>
                <w:color w:val="auto"/>
                <w:sz w:val="21"/>
                <w:szCs w:val="21"/>
                <w:lang w:eastAsia="zh-CN"/>
              </w:rPr>
              <w:t>南渡江龙塘饮用水水源保护区规划范围</w:t>
            </w:r>
            <w:r>
              <w:rPr>
                <w:rFonts w:hint="eastAsia" w:ascii="Times New Roman" w:hAnsi="Calibri" w:eastAsia="宋体" w:cs="Times New Roman"/>
                <w:color w:val="auto"/>
                <w:kern w:val="2"/>
                <w:sz w:val="21"/>
                <w:szCs w:val="21"/>
                <w:lang w:val="en-US" w:eastAsia="zh-CN" w:bidi="ar-SA"/>
              </w:rPr>
              <w:t>部分重合</w:t>
            </w:r>
            <w:r>
              <w:rPr>
                <w:rFonts w:hint="eastAsia" w:ascii="Times New Roman" w:hAnsi="Calibri" w:cs="Times New Roman"/>
                <w:color w:val="auto"/>
                <w:kern w:val="2"/>
                <w:sz w:val="21"/>
                <w:szCs w:val="21"/>
                <w:lang w:val="en-US" w:eastAsia="zh-CN" w:bidi="ar-SA"/>
              </w:rPr>
              <w:t>。表中所列</w:t>
            </w:r>
            <w:r>
              <w:rPr>
                <w:rFonts w:hint="eastAsia" w:ascii="Times New Roman" w:cs="Times New Roman"/>
                <w:color w:val="auto"/>
                <w:kern w:val="2"/>
                <w:sz w:val="21"/>
                <w:szCs w:val="21"/>
                <w:lang w:val="en-US" w:eastAsia="zh-CN" w:bidi="ar-SA"/>
              </w:rPr>
              <w:t>的</w:t>
            </w:r>
            <w:r>
              <w:rPr>
                <w:rFonts w:hint="default" w:ascii="Times New Roman" w:hAnsi="Calibri" w:eastAsia="宋体" w:cs="Times New Roman"/>
                <w:color w:val="auto"/>
                <w:kern w:val="2"/>
                <w:sz w:val="21"/>
                <w:szCs w:val="21"/>
                <w:lang w:val="en-US" w:eastAsia="zh-CN" w:bidi="ar-SA"/>
              </w:rPr>
              <w:t>羊山湿地多用途管理区湿地面积为湿地公园、湿地保护小区等保护形式以外的湿地。</w:t>
            </w:r>
            <w:r>
              <w:rPr>
                <w:rFonts w:hint="eastAsia" w:ascii="Times New Roman" w:hAnsi="Calibri" w:cs="Times New Roman"/>
                <w:color w:val="auto"/>
                <w:kern w:val="2"/>
                <w:sz w:val="21"/>
                <w:szCs w:val="21"/>
                <w:lang w:val="en-US" w:eastAsia="zh-CN" w:bidi="ar-SA"/>
              </w:rPr>
              <w:t>该管理区内拟立塔44基</w:t>
            </w:r>
            <w:r>
              <w:rPr>
                <w:rFonts w:hint="eastAsia" w:ascii="Times New Roman"/>
                <w:color w:val="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color w:val="auto"/>
                <w:lang w:eastAsia="zh-CN"/>
              </w:rPr>
            </w:pPr>
            <w:r>
              <w:rPr>
                <w:rFonts w:hint="eastAsia" w:ascii="Times New Roman"/>
                <w:color w:val="auto"/>
                <w:lang w:eastAsia="zh-CN"/>
              </w:rPr>
              <w:t>（</w:t>
            </w:r>
            <w:r>
              <w:rPr>
                <w:rFonts w:hint="eastAsia" w:ascii="Times New Roman"/>
                <w:color w:val="auto"/>
                <w:lang w:val="en-US" w:eastAsia="zh-CN"/>
              </w:rPr>
              <w:t>3</w:t>
            </w:r>
            <w:r>
              <w:rPr>
                <w:rFonts w:hint="eastAsia" w:ascii="Times New Roman"/>
                <w:color w:val="auto"/>
                <w:lang w:eastAsia="zh-CN"/>
              </w:rPr>
              <w:t>）水环境保护目标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color w:val="auto"/>
                <w:lang w:eastAsia="zh-CN"/>
              </w:rPr>
            </w:pPr>
            <w:r>
              <w:rPr>
                <w:rFonts w:hint="eastAsia" w:ascii="Times New Roman"/>
                <w:color w:val="auto"/>
                <w:lang w:eastAsia="zh-CN"/>
              </w:rPr>
              <w:t>根据收资调查及现场踏勘，</w:t>
            </w:r>
            <w:r>
              <w:rPr>
                <w:rFonts w:hint="eastAsia" w:ascii="Times New Roman"/>
                <w:color w:val="auto"/>
                <w:lang w:val="zh-CN" w:eastAsia="zh-CN"/>
              </w:rPr>
              <w:t>本工程线路约有</w:t>
            </w:r>
            <w:r>
              <w:rPr>
                <w:rFonts w:hint="eastAsia" w:ascii="Times New Roman"/>
                <w:color w:val="auto"/>
                <w:lang w:val="en-US" w:eastAsia="zh-CN"/>
              </w:rPr>
              <w:t>3.8</w:t>
            </w:r>
            <w:r>
              <w:rPr>
                <w:rFonts w:hint="eastAsia" w:ascii="Times New Roman"/>
                <w:color w:val="auto"/>
                <w:lang w:val="zh-CN" w:eastAsia="zh-CN"/>
              </w:rPr>
              <w:t>km路径处于</w:t>
            </w:r>
            <w:r>
              <w:rPr>
                <w:rFonts w:hint="eastAsia" w:ascii="Times New Roman"/>
                <w:color w:val="auto"/>
                <w:lang w:eastAsia="zh-CN"/>
              </w:rPr>
              <w:t>南渡江龙头饮用水水源保护区走线。该饮用水水源保护区规划范围与</w:t>
            </w:r>
            <w:r>
              <w:rPr>
                <w:rFonts w:hint="eastAsia" w:ascii="Times New Roman"/>
                <w:color w:val="auto"/>
                <w:lang w:val="en-US" w:eastAsia="zh-CN"/>
              </w:rPr>
              <w:t>1处海南省省级生态保护红线区、</w:t>
            </w:r>
            <w:r>
              <w:rPr>
                <w:rFonts w:hint="eastAsia" w:ascii="Times New Roman"/>
                <w:color w:val="auto"/>
                <w:sz w:val="21"/>
                <w:szCs w:val="21"/>
                <w:lang w:eastAsia="zh-CN"/>
              </w:rPr>
              <w:t>海口三十六曲溪省级湿地公园、</w:t>
            </w:r>
            <w:r>
              <w:rPr>
                <w:rFonts w:hint="eastAsia" w:ascii="Times New Roman"/>
                <w:color w:val="auto"/>
                <w:lang w:val="en-US" w:eastAsia="zh-CN"/>
              </w:rPr>
              <w:t>新旧沟湿地乡村公园和</w:t>
            </w:r>
            <w:r>
              <w:rPr>
                <w:rFonts w:hint="default" w:ascii="Times New Roman" w:hAnsi="Calibri" w:eastAsia="宋体" w:cs="Times New Roman"/>
                <w:color w:val="auto"/>
                <w:kern w:val="2"/>
                <w:sz w:val="21"/>
                <w:szCs w:val="21"/>
                <w:lang w:val="en-US" w:eastAsia="zh-CN" w:bidi="ar-SA"/>
              </w:rPr>
              <w:t>羊山湿地多用途管理区</w:t>
            </w:r>
            <w:r>
              <w:rPr>
                <w:rFonts w:hint="eastAsia" w:ascii="Times New Roman" w:cs="Times New Roman"/>
                <w:color w:val="auto"/>
                <w:kern w:val="2"/>
                <w:sz w:val="21"/>
                <w:szCs w:val="21"/>
                <w:lang w:val="en-US" w:eastAsia="zh-CN" w:bidi="ar-SA"/>
              </w:rPr>
              <w:t>的规划范围部分重合。本次环评的</w:t>
            </w:r>
            <w:r>
              <w:rPr>
                <w:rFonts w:hint="eastAsia" w:ascii="Times New Roman"/>
                <w:color w:val="auto"/>
                <w:lang w:eastAsia="zh-CN"/>
              </w:rPr>
              <w:t>水环境保护目标见表</w:t>
            </w:r>
            <w:r>
              <w:rPr>
                <w:rFonts w:hint="eastAsia" w:ascii="Times New Roman"/>
                <w:color w:val="auto"/>
                <w:lang w:val="en-US" w:eastAsia="zh-CN"/>
              </w:rPr>
              <w:t>3-5</w:t>
            </w:r>
            <w:r>
              <w:rPr>
                <w:rFonts w:hint="eastAsia" w:ascii="Times New Roman"/>
                <w:color w:val="auto"/>
                <w:lang w:eastAsia="zh-CN"/>
              </w:rPr>
              <w:t>。</w:t>
            </w:r>
          </w:p>
          <w:p>
            <w:pPr>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eastAsia" w:ascii="Times New Roman" w:hAnsi="宋体"/>
                <w:b/>
                <w:color w:val="auto"/>
                <w:lang w:val="zh-CN"/>
              </w:rPr>
            </w:pPr>
            <w:r>
              <w:rPr>
                <w:rFonts w:hint="eastAsia" w:ascii="Times New Roman" w:hAnsi="宋体"/>
                <w:b/>
                <w:color w:val="auto"/>
                <w:lang w:val="zh-CN"/>
              </w:rPr>
              <w:t>表</w:t>
            </w:r>
            <w:r>
              <w:rPr>
                <w:rFonts w:ascii="Times New Roman" w:hAnsi="宋体"/>
                <w:b/>
                <w:color w:val="auto"/>
                <w:lang w:val="zh-CN"/>
              </w:rPr>
              <w:t>3</w:t>
            </w:r>
            <w:r>
              <w:rPr>
                <w:rFonts w:hint="eastAsia" w:ascii="Times New Roman" w:hAnsi="宋体"/>
                <w:b/>
                <w:color w:val="auto"/>
                <w:lang w:val="zh-CN"/>
              </w:rPr>
              <w:t>-</w:t>
            </w:r>
            <w:r>
              <w:rPr>
                <w:rFonts w:hint="eastAsia" w:ascii="Times New Roman" w:hAnsi="宋体"/>
                <w:b/>
                <w:color w:val="auto"/>
                <w:lang w:val="en-US" w:eastAsia="zh-CN"/>
              </w:rPr>
              <w:t>5</w:t>
            </w:r>
            <w:r>
              <w:rPr>
                <w:rFonts w:ascii="Times New Roman" w:hAnsi="宋体"/>
                <w:b/>
                <w:color w:val="auto"/>
                <w:lang w:val="zh-CN"/>
              </w:rPr>
              <w:t xml:space="preserve"> </w:t>
            </w:r>
            <w:r>
              <w:rPr>
                <w:rFonts w:hint="eastAsia" w:ascii="Times New Roman" w:hAnsi="宋体"/>
                <w:b/>
                <w:color w:val="auto"/>
                <w:lang w:val="zh-CN"/>
              </w:rPr>
              <w:t xml:space="preserve"> 本工程水环境</w:t>
            </w:r>
            <w:r>
              <w:rPr>
                <w:rFonts w:ascii="Times New Roman" w:hAnsi="宋体"/>
                <w:b/>
                <w:color w:val="auto"/>
                <w:lang w:val="zh-CN"/>
              </w:rPr>
              <w:t>主要环境保护目标一览表</w:t>
            </w:r>
          </w:p>
          <w:tbl>
            <w:tblPr>
              <w:tblStyle w:val="50"/>
              <w:tblW w:w="7905" w:type="dxa"/>
              <w:jc w:val="center"/>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900"/>
              <w:gridCol w:w="2515"/>
              <w:gridCol w:w="1540"/>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6" w:type="dxa"/>
                  <w:vAlign w:val="center"/>
                </w:tcPr>
                <w:p>
                  <w:pPr>
                    <w:jc w:val="center"/>
                    <w:rPr>
                      <w:rFonts w:hint="eastAsia" w:eastAsia="宋体"/>
                      <w:color w:val="auto"/>
                      <w:szCs w:val="21"/>
                    </w:rPr>
                  </w:pPr>
                  <w:r>
                    <w:rPr>
                      <w:rFonts w:hint="eastAsia" w:eastAsia="宋体"/>
                      <w:color w:val="auto"/>
                      <w:szCs w:val="21"/>
                    </w:rPr>
                    <w:t>保护目标</w:t>
                  </w:r>
                </w:p>
              </w:tc>
              <w:tc>
                <w:tcPr>
                  <w:tcW w:w="900" w:type="dxa"/>
                  <w:vAlign w:val="center"/>
                </w:tcPr>
                <w:p>
                  <w:pPr>
                    <w:jc w:val="center"/>
                    <w:rPr>
                      <w:rFonts w:hint="eastAsia" w:eastAsia="宋体"/>
                      <w:color w:val="auto"/>
                      <w:szCs w:val="21"/>
                    </w:rPr>
                  </w:pPr>
                  <w:r>
                    <w:rPr>
                      <w:rFonts w:hint="eastAsia" w:eastAsia="宋体"/>
                      <w:color w:val="auto"/>
                      <w:szCs w:val="21"/>
                    </w:rPr>
                    <w:t>地理位置</w:t>
                  </w:r>
                </w:p>
              </w:tc>
              <w:tc>
                <w:tcPr>
                  <w:tcW w:w="2515" w:type="dxa"/>
                  <w:vAlign w:val="center"/>
                </w:tcPr>
                <w:p>
                  <w:pPr>
                    <w:jc w:val="center"/>
                    <w:rPr>
                      <w:rFonts w:hint="eastAsia" w:eastAsia="宋体"/>
                      <w:color w:val="auto"/>
                      <w:szCs w:val="21"/>
                    </w:rPr>
                  </w:pPr>
                  <w:r>
                    <w:rPr>
                      <w:rFonts w:hint="eastAsia" w:eastAsia="宋体"/>
                      <w:color w:val="auto"/>
                      <w:szCs w:val="21"/>
                    </w:rPr>
                    <w:t>本工程的位置关系</w:t>
                  </w:r>
                </w:p>
              </w:tc>
              <w:tc>
                <w:tcPr>
                  <w:tcW w:w="1540" w:type="dxa"/>
                  <w:vAlign w:val="top"/>
                </w:tcPr>
                <w:p>
                  <w:pPr>
                    <w:jc w:val="center"/>
                    <w:rPr>
                      <w:rFonts w:hint="eastAsia" w:eastAsia="宋体"/>
                      <w:color w:val="auto"/>
                      <w:szCs w:val="21"/>
                    </w:rPr>
                  </w:pPr>
                  <w:r>
                    <w:rPr>
                      <w:rFonts w:hint="eastAsia" w:eastAsia="宋体"/>
                      <w:color w:val="auto"/>
                      <w:szCs w:val="21"/>
                      <w:lang w:eastAsia="zh-CN"/>
                    </w:rPr>
                    <w:t>拟在</w:t>
                  </w:r>
                  <w:r>
                    <w:rPr>
                      <w:rFonts w:hint="eastAsia" w:eastAsia="宋体"/>
                      <w:color w:val="auto"/>
                      <w:szCs w:val="21"/>
                    </w:rPr>
                    <w:t>保护区内立塔/塔基数</w:t>
                  </w:r>
                </w:p>
              </w:tc>
              <w:tc>
                <w:tcPr>
                  <w:tcW w:w="1194" w:type="dxa"/>
                  <w:vAlign w:val="center"/>
                </w:tcPr>
                <w:p>
                  <w:pPr>
                    <w:jc w:val="center"/>
                    <w:rPr>
                      <w:rFonts w:hint="eastAsia" w:eastAsia="宋体"/>
                      <w:color w:val="auto"/>
                      <w:szCs w:val="21"/>
                    </w:rPr>
                  </w:pPr>
                  <w:r>
                    <w:rPr>
                      <w:rFonts w:hint="eastAsia" w:eastAsia="宋体"/>
                      <w:color w:val="auto"/>
                      <w:szCs w:val="21"/>
                    </w:rPr>
                    <w:t>环境保护要求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6" w:type="dxa"/>
                  <w:vAlign w:val="center"/>
                </w:tcPr>
                <w:p>
                  <w:pPr>
                    <w:jc w:val="center"/>
                    <w:rPr>
                      <w:rFonts w:hint="eastAsia" w:ascii="Times New Roman" w:hAnsi="Times New Roman"/>
                      <w:color w:val="auto"/>
                    </w:rPr>
                  </w:pPr>
                  <w:r>
                    <w:rPr>
                      <w:rFonts w:hint="eastAsia" w:ascii="Times New Roman" w:hAnsi="Times New Roman"/>
                      <w:color w:val="auto"/>
                      <w:lang w:eastAsia="zh-CN"/>
                    </w:rPr>
                    <w:t>南渡江龙塘饮用水</w:t>
                  </w:r>
                  <w:r>
                    <w:rPr>
                      <w:rFonts w:hint="eastAsia" w:ascii="Times New Roman" w:hAnsi="Times New Roman"/>
                      <w:color w:val="auto"/>
                    </w:rPr>
                    <w:t>水源保护区</w:t>
                  </w:r>
                </w:p>
              </w:tc>
              <w:tc>
                <w:tcPr>
                  <w:tcW w:w="900" w:type="dxa"/>
                  <w:vAlign w:val="center"/>
                </w:tcPr>
                <w:p>
                  <w:pPr>
                    <w:jc w:val="center"/>
                    <w:rPr>
                      <w:rFonts w:hint="eastAsia" w:ascii="Times New Roman" w:hAnsi="Times New Roman"/>
                      <w:color w:val="auto"/>
                      <w:lang w:eastAsia="zh-CN"/>
                    </w:rPr>
                  </w:pPr>
                  <w:r>
                    <w:rPr>
                      <w:rFonts w:hint="eastAsia" w:ascii="Times New Roman" w:hAnsi="Times New Roman"/>
                      <w:color w:val="auto"/>
                      <w:lang w:eastAsia="zh-CN"/>
                    </w:rPr>
                    <w:t>海口市琼山区</w:t>
                  </w:r>
                </w:p>
              </w:tc>
              <w:tc>
                <w:tcPr>
                  <w:tcW w:w="2515" w:type="dxa"/>
                  <w:vAlign w:val="center"/>
                </w:tcPr>
                <w:p>
                  <w:pPr>
                    <w:jc w:val="center"/>
                    <w:rPr>
                      <w:rFonts w:hint="eastAsia" w:ascii="Times New Roman" w:hAnsi="Times New Roman"/>
                      <w:color w:val="auto"/>
                    </w:rPr>
                  </w:pPr>
                  <w:r>
                    <w:rPr>
                      <w:rFonts w:ascii="Times New Roman" w:hAnsi="Times New Roman"/>
                      <w:color w:val="auto"/>
                    </w:rPr>
                    <w:t>跨越二级水域保护区</w:t>
                  </w:r>
                  <w:r>
                    <w:rPr>
                      <w:rFonts w:hint="eastAsia" w:ascii="Times New Roman" w:hAnsi="Times New Roman"/>
                      <w:color w:val="auto"/>
                      <w:lang w:val="en-US" w:eastAsia="zh-CN"/>
                    </w:rPr>
                    <w:t>2</w:t>
                  </w:r>
                  <w:r>
                    <w:rPr>
                      <w:rFonts w:ascii="Times New Roman" w:hAnsi="Times New Roman"/>
                      <w:color w:val="auto"/>
                    </w:rPr>
                    <w:t>次，跨越水域总长约</w:t>
                  </w:r>
                  <w:r>
                    <w:rPr>
                      <w:rFonts w:hint="eastAsia" w:ascii="Times New Roman" w:hAnsi="Times New Roman"/>
                      <w:color w:val="auto"/>
                      <w:lang w:val="en-US" w:eastAsia="zh-CN"/>
                    </w:rPr>
                    <w:t>0.1</w:t>
                  </w:r>
                  <w:r>
                    <w:rPr>
                      <w:rFonts w:ascii="Times New Roman" w:hAnsi="Times New Roman"/>
                      <w:color w:val="auto"/>
                    </w:rPr>
                    <w:t>km，线路</w:t>
                  </w:r>
                  <w:r>
                    <w:rPr>
                      <w:rFonts w:hint="eastAsia" w:ascii="Times New Roman" w:hAnsi="Times New Roman"/>
                      <w:color w:val="auto"/>
                    </w:rPr>
                    <w:t>跨越二级陆域</w:t>
                  </w:r>
                  <w:r>
                    <w:rPr>
                      <w:rFonts w:hint="eastAsia" w:ascii="Times New Roman" w:hAnsi="Times New Roman"/>
                      <w:color w:val="auto"/>
                      <w:lang w:eastAsia="zh-CN"/>
                    </w:rPr>
                    <w:t>保护区</w:t>
                  </w:r>
                  <w:r>
                    <w:rPr>
                      <w:rFonts w:hint="eastAsia" w:ascii="Times New Roman" w:hAnsi="Times New Roman"/>
                      <w:color w:val="auto"/>
                    </w:rPr>
                    <w:t>总长约</w:t>
                  </w:r>
                  <w:r>
                    <w:rPr>
                      <w:rFonts w:hint="eastAsia" w:ascii="Times New Roman" w:hAnsi="Times New Roman"/>
                      <w:color w:val="auto"/>
                      <w:lang w:val="en-US" w:eastAsia="zh-CN"/>
                    </w:rPr>
                    <w:t>0.3</w:t>
                  </w:r>
                  <w:r>
                    <w:rPr>
                      <w:rFonts w:ascii="Times New Roman" w:hAnsi="Times New Roman"/>
                      <w:color w:val="auto"/>
                    </w:rPr>
                    <w:t>km</w:t>
                  </w:r>
                  <w:r>
                    <w:rPr>
                      <w:rFonts w:hint="eastAsia" w:ascii="Times New Roman" w:hAnsi="Times New Roman"/>
                      <w:color w:val="auto"/>
                      <w:lang w:eastAsia="zh-CN"/>
                    </w:rPr>
                    <w:t>，拟立塔</w:t>
                  </w:r>
                  <w:r>
                    <w:rPr>
                      <w:rFonts w:hint="eastAsia" w:ascii="Times New Roman" w:hAnsi="Times New Roman"/>
                      <w:color w:val="auto"/>
                      <w:lang w:val="en-US" w:eastAsia="zh-CN"/>
                    </w:rPr>
                    <w:t>1基</w:t>
                  </w:r>
                  <w:r>
                    <w:rPr>
                      <w:rFonts w:ascii="Times New Roman" w:hAnsi="Times New Roman"/>
                      <w:color w:val="auto"/>
                    </w:rPr>
                    <w:t>。线路跨越</w:t>
                  </w:r>
                  <w:r>
                    <w:rPr>
                      <w:rFonts w:hint="eastAsia" w:ascii="Times New Roman" w:hAnsi="Times New Roman"/>
                      <w:color w:val="auto"/>
                      <w:lang w:eastAsia="zh-CN"/>
                    </w:rPr>
                    <w:t>准保护区</w:t>
                  </w:r>
                  <w:r>
                    <w:rPr>
                      <w:rFonts w:ascii="Times New Roman" w:hAnsi="Times New Roman"/>
                      <w:color w:val="auto"/>
                    </w:rPr>
                    <w:t>水域</w:t>
                  </w:r>
                  <w:r>
                    <w:rPr>
                      <w:rFonts w:hint="eastAsia" w:ascii="Times New Roman" w:hAnsi="Times New Roman"/>
                      <w:color w:val="auto"/>
                      <w:lang w:val="en-US" w:eastAsia="zh-CN"/>
                    </w:rPr>
                    <w:t>1</w:t>
                  </w:r>
                  <w:r>
                    <w:rPr>
                      <w:rFonts w:ascii="Times New Roman" w:hAnsi="Times New Roman"/>
                      <w:color w:val="auto"/>
                    </w:rPr>
                    <w:t>次，跨越水域总长为</w:t>
                  </w:r>
                  <w:r>
                    <w:rPr>
                      <w:rFonts w:hint="eastAsia" w:ascii="Times New Roman" w:hAnsi="Times New Roman"/>
                      <w:color w:val="auto"/>
                      <w:lang w:val="en-US" w:eastAsia="zh-CN"/>
                    </w:rPr>
                    <w:t>0.4</w:t>
                  </w:r>
                  <w:r>
                    <w:rPr>
                      <w:rFonts w:ascii="Times New Roman" w:hAnsi="Times New Roman"/>
                      <w:color w:val="auto"/>
                    </w:rPr>
                    <w:t>km，线路</w:t>
                  </w:r>
                  <w:r>
                    <w:rPr>
                      <w:rFonts w:hint="eastAsia" w:ascii="Times New Roman" w:hAnsi="Times New Roman"/>
                      <w:color w:val="auto"/>
                    </w:rPr>
                    <w:t>跨越</w:t>
                  </w:r>
                  <w:r>
                    <w:rPr>
                      <w:rFonts w:hint="eastAsia" w:ascii="Times New Roman" w:hAnsi="Times New Roman"/>
                      <w:color w:val="auto"/>
                      <w:lang w:eastAsia="zh-CN"/>
                    </w:rPr>
                    <w:t>准保护区陆域</w:t>
                  </w:r>
                  <w:r>
                    <w:rPr>
                      <w:rFonts w:hint="eastAsia" w:ascii="Times New Roman" w:hAnsi="Times New Roman"/>
                      <w:color w:val="auto"/>
                    </w:rPr>
                    <w:t>总长约</w:t>
                  </w:r>
                  <w:r>
                    <w:rPr>
                      <w:rFonts w:hint="eastAsia" w:ascii="Times New Roman" w:hAnsi="Times New Roman"/>
                      <w:color w:val="auto"/>
                      <w:lang w:val="en-US" w:eastAsia="zh-CN"/>
                    </w:rPr>
                    <w:t>3.0</w:t>
                  </w:r>
                  <w:r>
                    <w:rPr>
                      <w:rFonts w:ascii="Times New Roman" w:hAnsi="Times New Roman"/>
                      <w:color w:val="auto"/>
                    </w:rPr>
                    <w:t>km</w:t>
                  </w:r>
                  <w:r>
                    <w:rPr>
                      <w:rFonts w:hint="eastAsia" w:ascii="Times New Roman" w:hAnsi="Times New Roman"/>
                      <w:color w:val="auto"/>
                      <w:lang w:eastAsia="zh-CN"/>
                    </w:rPr>
                    <w:t>，拟立塔</w:t>
                  </w:r>
                  <w:r>
                    <w:rPr>
                      <w:rFonts w:hint="eastAsia" w:ascii="Times New Roman" w:hAnsi="Times New Roman"/>
                      <w:color w:val="auto"/>
                      <w:lang w:val="en-US" w:eastAsia="zh-CN"/>
                    </w:rPr>
                    <w:t>9基</w:t>
                  </w:r>
                  <w:r>
                    <w:rPr>
                      <w:rFonts w:ascii="Times New Roman" w:hAnsi="Times New Roman"/>
                      <w:color w:val="auto"/>
                    </w:rPr>
                    <w:t>。</w:t>
                  </w:r>
                </w:p>
              </w:tc>
              <w:tc>
                <w:tcPr>
                  <w:tcW w:w="1540" w:type="dxa"/>
                  <w:vAlign w:val="center"/>
                </w:tcPr>
                <w:p>
                  <w:pPr>
                    <w:jc w:val="center"/>
                    <w:rPr>
                      <w:rFonts w:hint="eastAsia" w:ascii="Times New Roman" w:hAnsi="Times New Roman" w:eastAsia="宋体"/>
                      <w:color w:val="auto"/>
                      <w:lang w:val="en-US" w:eastAsia="zh-CN"/>
                    </w:rPr>
                  </w:pPr>
                  <w:r>
                    <w:rPr>
                      <w:rFonts w:hint="eastAsia" w:ascii="Times New Roman" w:hAnsi="Times New Roman"/>
                      <w:color w:val="auto"/>
                    </w:rPr>
                    <w:t>是/塔基</w:t>
                  </w:r>
                  <w:r>
                    <w:rPr>
                      <w:rFonts w:hint="eastAsia" w:ascii="Times New Roman" w:hAnsi="Times New Roman"/>
                      <w:color w:val="auto"/>
                      <w:lang w:val="en-US" w:eastAsia="zh-CN"/>
                    </w:rPr>
                    <w:t>10</w:t>
                  </w:r>
                  <w:r>
                    <w:rPr>
                      <w:rFonts w:hint="eastAsia" w:ascii="Times New Roman" w:hAnsi="Times New Roman"/>
                      <w:color w:val="auto"/>
                    </w:rPr>
                    <w:t>基</w:t>
                  </w:r>
                  <w:r>
                    <w:rPr>
                      <w:rFonts w:hint="eastAsia" w:ascii="Times New Roman" w:hAnsi="Times New Roman"/>
                      <w:color w:val="auto"/>
                      <w:lang w:eastAsia="zh-CN"/>
                    </w:rPr>
                    <w:t>（二级陆域保护区</w:t>
                  </w:r>
                  <w:r>
                    <w:rPr>
                      <w:rFonts w:hint="eastAsia" w:ascii="Times New Roman" w:hAnsi="Times New Roman"/>
                      <w:color w:val="auto"/>
                      <w:lang w:val="en-US" w:eastAsia="zh-CN"/>
                    </w:rPr>
                    <w:t>1基，准保护区陆域9基</w:t>
                  </w:r>
                  <w:r>
                    <w:rPr>
                      <w:rFonts w:hint="eastAsia" w:ascii="Times New Roman" w:hAnsi="Times New Roman"/>
                      <w:color w:val="auto"/>
                      <w:lang w:eastAsia="zh-CN"/>
                    </w:rPr>
                    <w:t>）</w:t>
                  </w:r>
                </w:p>
              </w:tc>
              <w:tc>
                <w:tcPr>
                  <w:tcW w:w="1194" w:type="dxa"/>
                  <w:vAlign w:val="center"/>
                </w:tcPr>
                <w:p>
                  <w:pPr>
                    <w:jc w:val="center"/>
                    <w:rPr>
                      <w:rFonts w:hint="eastAsia" w:ascii="Times New Roman" w:hAnsi="Times New Roman"/>
                      <w:color w:val="auto"/>
                    </w:rPr>
                  </w:pPr>
                  <w:r>
                    <w:rPr>
                      <w:rFonts w:hint="eastAsia" w:ascii="Times New Roman" w:hAnsi="Times New Roman"/>
                      <w:color w:val="auto"/>
                    </w:rPr>
                    <w:t>零排放，不污染水体</w:t>
                  </w:r>
                </w:p>
              </w:tc>
            </w:tr>
          </w:tbl>
          <w:p>
            <w:pPr>
              <w:pStyle w:val="23"/>
              <w:spacing w:line="360" w:lineRule="auto"/>
              <w:ind w:firstLine="420" w:firstLineChars="200"/>
              <w:rPr>
                <w:rFonts w:hint="eastAsia" w:ascii="Times New Roman"/>
                <w:color w:val="auto"/>
                <w:sz w:val="21"/>
                <w:szCs w:val="21"/>
              </w:rPr>
            </w:pPr>
          </w:p>
        </w:tc>
      </w:tr>
    </w:tbl>
    <w:p>
      <w:pPr>
        <w:rPr>
          <w:rFonts w:ascii="Times New Roman" w:hAnsi="Times New Roman"/>
          <w:color w:val="auto"/>
        </w:rPr>
      </w:pPr>
      <w:r>
        <w:rPr>
          <w:rFonts w:hint="eastAsia" w:ascii="Times New Roman" w:hAnsi="Times New Roman"/>
          <w:color w:val="auto"/>
        </w:rPr>
        <mc:AlternateContent>
          <mc:Choice Requires="wps">
            <w:drawing>
              <wp:anchor distT="0" distB="0" distL="114300" distR="114300" simplePos="0" relativeHeight="251671552" behindDoc="0" locked="0" layoutInCell="1" allowOverlap="1">
                <wp:simplePos x="0" y="0"/>
                <wp:positionH relativeFrom="column">
                  <wp:posOffset>5029200</wp:posOffset>
                </wp:positionH>
                <wp:positionV relativeFrom="paragraph">
                  <wp:posOffset>2179320</wp:posOffset>
                </wp:positionV>
                <wp:extent cx="342900" cy="3169920"/>
                <wp:effectExtent l="0" t="0" r="0" b="11430"/>
                <wp:wrapNone/>
                <wp:docPr id="14" name="文本框 104"/>
                <wp:cNvGraphicFramePr/>
                <a:graphic xmlns:a="http://schemas.openxmlformats.org/drawingml/2006/main">
                  <a:graphicData uri="http://schemas.microsoft.com/office/word/2010/wordprocessingShape">
                    <wps:wsp>
                      <wps:cNvSpPr txBox="1"/>
                      <wps:spPr>
                        <a:xfrm>
                          <a:off x="0" y="0"/>
                          <a:ext cx="342900" cy="3169920"/>
                        </a:xfrm>
                        <a:prstGeom prst="rect">
                          <a:avLst/>
                        </a:prstGeom>
                        <a:solidFill>
                          <a:srgbClr val="FFFFFF"/>
                        </a:solidFill>
                        <a:ln>
                          <a:noFill/>
                        </a:ln>
                      </wps:spPr>
                      <wps:txbx>
                        <w:txbxContent>
                          <w:p>
                            <w:pPr>
                              <w:jc w:val="center"/>
                              <w:rPr>
                                <w:rFonts w:hint="eastAsia" w:ascii="Times New Roman" w:hAnsi="Times New Roman"/>
                              </w:rPr>
                            </w:pPr>
                            <w:r>
                              <w:rPr>
                                <w:rFonts w:ascii="Times New Roman"/>
                              </w:rPr>
                              <w:t>图</w:t>
                            </w:r>
                            <w:r>
                              <w:rPr>
                                <w:rFonts w:hint="eastAsia" w:ascii="Times New Roman" w:hAnsi="Times New Roman"/>
                              </w:rPr>
                              <w:t xml:space="preserve">6 </w:t>
                            </w:r>
                            <w:r>
                              <w:rPr>
                                <w:rFonts w:ascii="Times New Roman"/>
                              </w:rPr>
                              <w:t>本工程</w:t>
                            </w:r>
                            <w:r>
                              <w:rPr>
                                <w:rFonts w:hint="eastAsia" w:ascii="Times New Roman"/>
                              </w:rPr>
                              <w:t>线路路径周围环境示意</w:t>
                            </w:r>
                            <w:r>
                              <w:rPr>
                                <w:rFonts w:ascii="Times New Roman"/>
                              </w:rPr>
                              <w:t>图</w:t>
                            </w:r>
                            <w:r>
                              <w:rPr>
                                <w:rFonts w:hint="eastAsia" w:ascii="Times New Roman"/>
                              </w:rPr>
                              <w:t>（三都村）</w:t>
                            </w:r>
                          </w:p>
                        </w:txbxContent>
                      </wps:txbx>
                      <wps:bodyPr vert="vert270" wrap="square" upright="1"/>
                    </wps:wsp>
                  </a:graphicData>
                </a:graphic>
              </wp:anchor>
            </w:drawing>
          </mc:Choice>
          <mc:Fallback>
            <w:pict>
              <v:shape id="文本框 104" o:spid="_x0000_s1026" o:spt="202" type="#_x0000_t202" style="position:absolute;left:0pt;margin-left:396pt;margin-top:171.6pt;height:249.6pt;width:27pt;z-index:251671552;mso-width-relative:page;mso-height-relative:page;" fillcolor="#FFFFFF" filled="t" stroked="f" coordsize="21600,21600" o:gfxdata="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hzdxi2gAAAAsBAAAPAAAAAAAAAAEAIAAAACIAAABkcnMvZG93bnJldi54bWxQ&#10;SwECFAAUAAAACACHTuJAyzDyv7wBAABJAwAADgAAAAAAAAABACAAAAApAQAAZHJzL2Uyb0RvYy54&#10;bWxQSwUGAAAAAAYABgBZAQAAVwUAAAAA&#10;">
                <v:fill on="t" focussize="0,0"/>
                <v:stroke on="f"/>
                <v:imagedata o:title=""/>
                <o:lock v:ext="edit" aspectratio="f"/>
                <v:textbox style="layout-flow:vertical;mso-layout-flow-alt:bottom-to-top;">
                  <w:txbxContent>
                    <w:p>
                      <w:pPr>
                        <w:jc w:val="center"/>
                        <w:rPr>
                          <w:rFonts w:hint="eastAsia" w:ascii="Times New Roman" w:hAnsi="Times New Roman"/>
                        </w:rPr>
                      </w:pPr>
                      <w:r>
                        <w:rPr>
                          <w:rFonts w:ascii="Times New Roman"/>
                        </w:rPr>
                        <w:t>图</w:t>
                      </w:r>
                      <w:r>
                        <w:rPr>
                          <w:rFonts w:hint="eastAsia" w:ascii="Times New Roman" w:hAnsi="Times New Roman"/>
                        </w:rPr>
                        <w:t xml:space="preserve">6 </w:t>
                      </w:r>
                      <w:r>
                        <w:rPr>
                          <w:rFonts w:ascii="Times New Roman"/>
                        </w:rPr>
                        <w:t>本工程</w:t>
                      </w:r>
                      <w:r>
                        <w:rPr>
                          <w:rFonts w:hint="eastAsia" w:ascii="Times New Roman"/>
                        </w:rPr>
                        <w:t>线路路径周围环境示意</w:t>
                      </w:r>
                      <w:r>
                        <w:rPr>
                          <w:rFonts w:ascii="Times New Roman"/>
                        </w:rPr>
                        <w:t>图</w:t>
                      </w:r>
                      <w:r>
                        <w:rPr>
                          <w:rFonts w:hint="eastAsia" w:ascii="Times New Roman"/>
                        </w:rPr>
                        <w:t>（三都村）</w:t>
                      </w:r>
                    </w:p>
                  </w:txbxContent>
                </v:textbox>
              </v:shape>
            </w:pict>
          </mc:Fallback>
        </mc:AlternateContent>
      </w:r>
    </w:p>
    <w:p>
      <w:pPr>
        <w:ind w:firstLine="420" w:firstLineChars="0"/>
        <w:outlineLvl w:val="0"/>
        <w:rPr>
          <w:rFonts w:ascii="Times New Roman" w:hAnsi="Times New Roman"/>
          <w:b/>
          <w:color w:val="auto"/>
          <w:sz w:val="28"/>
          <w:szCs w:val="28"/>
        </w:rPr>
      </w:pPr>
      <w:r>
        <w:rPr>
          <w:rFonts w:ascii="Times New Roman" w:hAnsi="Times New Roman"/>
          <w:color w:val="auto"/>
        </w:rPr>
        <w:br w:type="page"/>
      </w:r>
      <w:bookmarkStart w:id="20" w:name="_Toc339020805"/>
      <w:bookmarkStart w:id="21" w:name="_Toc522457750"/>
      <w:r>
        <w:rPr>
          <w:rFonts w:ascii="Times New Roman" w:hAnsi="Times New Roman"/>
          <w:b/>
          <w:color w:val="auto"/>
          <w:sz w:val="28"/>
          <w:szCs w:val="28"/>
        </w:rPr>
        <w:t>4评价适用标准</w:t>
      </w:r>
      <w:bookmarkEnd w:id="20"/>
      <w:bookmarkEnd w:id="21"/>
    </w:p>
    <w:tbl>
      <w:tblPr>
        <w:tblStyle w:val="50"/>
        <w:tblpPr w:leftFromText="180" w:rightFromText="180" w:vertAnchor="text" w:tblpXSpec="center" w:tblpY="1"/>
        <w:tblOverlap w:val="never"/>
        <w:tblW w:w="88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91" w:hRule="atLeast"/>
          <w:jc w:val="center"/>
        </w:trPr>
        <w:tc>
          <w:tcPr>
            <w:tcW w:w="736" w:type="dxa"/>
            <w:tcBorders>
              <w:bottom w:val="single" w:color="auto" w:sz="6" w:space="0"/>
              <w:right w:val="single" w:color="auto" w:sz="6" w:space="0"/>
            </w:tcBorders>
            <w:textDirection w:val="tbRlV"/>
            <w:vAlign w:val="center"/>
          </w:tcPr>
          <w:p>
            <w:pPr>
              <w:pStyle w:val="23"/>
              <w:spacing w:line="240" w:lineRule="atLeast"/>
              <w:ind w:left="113" w:right="113" w:firstLine="0"/>
              <w:jc w:val="center"/>
              <w:rPr>
                <w:rFonts w:hint="eastAsia" w:ascii="Times New Roman"/>
                <w:b/>
                <w:color w:val="auto"/>
                <w:sz w:val="21"/>
              </w:rPr>
            </w:pPr>
            <w:r>
              <w:rPr>
                <w:rFonts w:hint="eastAsia" w:ascii="Times New Roman"/>
                <w:b/>
                <w:color w:val="auto"/>
                <w:sz w:val="21"/>
              </w:rPr>
              <w:t>环  境  质  量  标  准</w:t>
            </w:r>
          </w:p>
        </w:tc>
        <w:tc>
          <w:tcPr>
            <w:tcW w:w="8083" w:type="dxa"/>
            <w:tcBorders>
              <w:left w:val="single" w:color="auto" w:sz="6" w:space="0"/>
              <w:bottom w:val="single" w:color="auto" w:sz="6" w:space="0"/>
            </w:tcBorders>
            <w:vAlign w:val="center"/>
          </w:tcPr>
          <w:p>
            <w:pPr>
              <w:pStyle w:val="23"/>
              <w:spacing w:line="360" w:lineRule="auto"/>
              <w:ind w:firstLine="0"/>
              <w:rPr>
                <w:rFonts w:hint="eastAsia" w:ascii="Times New Roman"/>
                <w:b/>
                <w:color w:val="auto"/>
                <w:sz w:val="21"/>
                <w:szCs w:val="21"/>
              </w:rPr>
            </w:pPr>
            <w:r>
              <w:rPr>
                <w:rFonts w:hint="eastAsia" w:ascii="Times New Roman"/>
                <w:b/>
                <w:color w:val="auto"/>
                <w:sz w:val="21"/>
                <w:szCs w:val="21"/>
              </w:rPr>
              <w:t>声环境：</w:t>
            </w:r>
          </w:p>
          <w:p>
            <w:pPr>
              <w:pStyle w:val="23"/>
              <w:spacing w:line="360" w:lineRule="auto"/>
              <w:ind w:firstLine="413" w:firstLineChars="197"/>
              <w:rPr>
                <w:rFonts w:hint="eastAsia" w:ascii="Times New Roman"/>
                <w:color w:val="auto"/>
                <w:sz w:val="21"/>
                <w:szCs w:val="21"/>
              </w:rPr>
            </w:pPr>
            <w:r>
              <w:rPr>
                <w:rFonts w:hint="eastAsia" w:ascii="Times New Roman"/>
                <w:color w:val="auto"/>
                <w:sz w:val="21"/>
                <w:szCs w:val="21"/>
              </w:rPr>
              <w:t>输电线路周围环境执行《声环境质量标准》（GB3096-2008）1类标准（昼间：55dB(A)，夜间：45dB(A)），</w:t>
            </w:r>
            <w:r>
              <w:rPr>
                <w:rFonts w:hint="eastAsia" w:ascii="Times New Roman"/>
                <w:color w:val="auto"/>
                <w:kern w:val="2"/>
                <w:sz w:val="21"/>
                <w:szCs w:val="21"/>
              </w:rPr>
              <w:t>交通干线边界线外相邻区域为</w:t>
            </w:r>
            <w:r>
              <w:rPr>
                <w:rFonts w:hint="eastAsia" w:ascii="Times New Roman"/>
                <w:color w:val="auto"/>
                <w:kern w:val="2"/>
                <w:sz w:val="21"/>
                <w:szCs w:val="21"/>
                <w:lang w:val="en-US" w:eastAsia="zh-CN"/>
              </w:rPr>
              <w:t>1</w:t>
            </w:r>
            <w:r>
              <w:rPr>
                <w:rFonts w:hint="eastAsia" w:ascii="Times New Roman"/>
                <w:color w:val="auto"/>
                <w:kern w:val="2"/>
                <w:sz w:val="21"/>
                <w:szCs w:val="21"/>
              </w:rPr>
              <w:t>类声功能区，距离为</w:t>
            </w:r>
            <w:r>
              <w:rPr>
                <w:rFonts w:hint="eastAsia" w:ascii="Times New Roman"/>
                <w:color w:val="auto"/>
                <w:kern w:val="2"/>
                <w:sz w:val="21"/>
                <w:szCs w:val="21"/>
                <w:lang w:val="en-US" w:eastAsia="zh-CN"/>
              </w:rPr>
              <w:t>50</w:t>
            </w:r>
            <w:r>
              <w:rPr>
                <w:rFonts w:hint="eastAsia" w:ascii="Times New Roman"/>
                <w:color w:val="auto"/>
                <w:kern w:val="2"/>
                <w:sz w:val="21"/>
                <w:szCs w:val="21"/>
              </w:rPr>
              <w:t>±5m内区域执行</w:t>
            </w:r>
            <w:r>
              <w:rPr>
                <w:rFonts w:ascii="Times New Roman"/>
                <w:color w:val="auto"/>
                <w:kern w:val="2"/>
                <w:sz w:val="21"/>
                <w:szCs w:val="21"/>
              </w:rPr>
              <w:t>《声环境质量标准》（GB3096-2008）4</w:t>
            </w:r>
            <w:r>
              <w:rPr>
                <w:rFonts w:hint="eastAsia" w:ascii="Times New Roman"/>
                <w:color w:val="auto"/>
                <w:kern w:val="2"/>
                <w:sz w:val="21"/>
                <w:szCs w:val="21"/>
              </w:rPr>
              <w:t>a</w:t>
            </w:r>
            <w:r>
              <w:rPr>
                <w:rFonts w:ascii="Times New Roman"/>
                <w:color w:val="auto"/>
                <w:kern w:val="2"/>
                <w:sz w:val="21"/>
                <w:szCs w:val="21"/>
              </w:rPr>
              <w:t>类标准（70dB（昼），55dB（夜））。</w:t>
            </w:r>
          </w:p>
          <w:p>
            <w:pPr>
              <w:pStyle w:val="23"/>
              <w:spacing w:line="360" w:lineRule="auto"/>
              <w:ind w:firstLine="0"/>
              <w:rPr>
                <w:rFonts w:ascii="Times New Roman"/>
                <w:b/>
                <w:color w:val="auto"/>
                <w:sz w:val="21"/>
                <w:szCs w:val="21"/>
              </w:rPr>
            </w:pPr>
            <w:r>
              <w:rPr>
                <w:rFonts w:ascii="Times New Roman"/>
                <w:b/>
                <w:color w:val="auto"/>
                <w:sz w:val="21"/>
                <w:szCs w:val="21"/>
              </w:rPr>
              <w:t>工频电场、工频磁场：</w:t>
            </w:r>
          </w:p>
          <w:p>
            <w:pPr>
              <w:spacing w:line="360" w:lineRule="auto"/>
              <w:ind w:firstLine="420" w:firstLineChars="200"/>
              <w:rPr>
                <w:rFonts w:ascii="Times New Roman" w:hAnsi="Times New Roman"/>
                <w:color w:val="auto"/>
              </w:rPr>
            </w:pPr>
            <w:r>
              <w:rPr>
                <w:rFonts w:ascii="Times New Roman" w:hAnsi="Times New Roman"/>
                <w:color w:val="auto"/>
              </w:rPr>
              <w:t>根据《电磁环境控制限值》（GB8702-2014）表1“公众曝露控制限值”规定，为控制本工程工频电场、磁场所致公众曝露，环境中电场强度控制限值为4kV/m；磁感应强度控制限值为100μT。另外，对于架空输电线路线下的耕地、园地、牧草地、畜禽饲养地、养殖水面、道路等场所，其电场强度控制限值为10kV/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59" w:hRule="atLeast"/>
          <w:jc w:val="center"/>
        </w:trPr>
        <w:tc>
          <w:tcPr>
            <w:tcW w:w="736" w:type="dxa"/>
            <w:tcBorders>
              <w:top w:val="single" w:color="auto" w:sz="6" w:space="0"/>
              <w:bottom w:val="single" w:color="auto" w:sz="6" w:space="0"/>
              <w:right w:val="single" w:color="auto" w:sz="6" w:space="0"/>
            </w:tcBorders>
            <w:textDirection w:val="tbRlV"/>
            <w:vAlign w:val="center"/>
          </w:tcPr>
          <w:p>
            <w:pPr>
              <w:pStyle w:val="23"/>
              <w:spacing w:line="360" w:lineRule="auto"/>
              <w:ind w:left="113" w:right="113" w:firstLine="0"/>
              <w:jc w:val="center"/>
              <w:rPr>
                <w:rFonts w:hint="eastAsia" w:ascii="Times New Roman"/>
                <w:b/>
                <w:color w:val="auto"/>
                <w:sz w:val="21"/>
              </w:rPr>
            </w:pPr>
            <w:r>
              <w:rPr>
                <w:rFonts w:hint="eastAsia" w:ascii="Times New Roman"/>
                <w:b/>
                <w:color w:val="auto"/>
                <w:sz w:val="21"/>
              </w:rPr>
              <w:t>污  染  物  排  放  标  准</w:t>
            </w:r>
          </w:p>
        </w:tc>
        <w:tc>
          <w:tcPr>
            <w:tcW w:w="8083" w:type="dxa"/>
            <w:tcBorders>
              <w:top w:val="single" w:color="auto" w:sz="6" w:space="0"/>
              <w:left w:val="single" w:color="auto" w:sz="6" w:space="0"/>
              <w:bottom w:val="single" w:color="auto" w:sz="6" w:space="0"/>
            </w:tcBorders>
            <w:vAlign w:val="center"/>
          </w:tcPr>
          <w:p>
            <w:pPr>
              <w:pStyle w:val="23"/>
              <w:spacing w:line="360" w:lineRule="auto"/>
              <w:ind w:firstLine="0"/>
              <w:jc w:val="both"/>
              <w:rPr>
                <w:rFonts w:ascii="Times New Roman"/>
                <w:b/>
                <w:bCs/>
                <w:color w:val="auto"/>
                <w:kern w:val="2"/>
                <w:sz w:val="21"/>
                <w:szCs w:val="21"/>
              </w:rPr>
            </w:pPr>
            <w:r>
              <w:rPr>
                <w:rFonts w:ascii="Times New Roman"/>
                <w:b/>
                <w:bCs/>
                <w:color w:val="auto"/>
                <w:kern w:val="2"/>
                <w:sz w:val="21"/>
                <w:szCs w:val="21"/>
              </w:rPr>
              <w:t>大气污染物排放标准：</w:t>
            </w:r>
          </w:p>
          <w:p>
            <w:pPr>
              <w:pStyle w:val="23"/>
              <w:spacing w:line="360" w:lineRule="auto"/>
              <w:ind w:firstLine="420" w:firstLineChars="200"/>
              <w:jc w:val="both"/>
              <w:rPr>
                <w:rFonts w:hint="eastAsia" w:ascii="Times New Roman"/>
                <w:color w:val="auto"/>
                <w:kern w:val="2"/>
                <w:sz w:val="21"/>
                <w:szCs w:val="21"/>
              </w:rPr>
            </w:pPr>
            <w:r>
              <w:rPr>
                <w:rFonts w:ascii="Times New Roman"/>
                <w:color w:val="auto"/>
                <w:kern w:val="2"/>
                <w:sz w:val="21"/>
                <w:szCs w:val="21"/>
              </w:rPr>
              <w:t>工程施工期内的大气污染物排放执行《大气污染物综合排放标准》（GB16297</w:t>
            </w:r>
            <w:r>
              <w:rPr>
                <w:rFonts w:ascii="Times New Roman"/>
                <w:color w:val="auto"/>
                <w:kern w:val="2"/>
                <w:sz w:val="21"/>
                <w:szCs w:val="21"/>
              </w:rPr>
              <w:softHyphen/>
            </w:r>
            <w:r>
              <w:rPr>
                <w:rFonts w:ascii="Times New Roman"/>
                <w:color w:val="auto"/>
                <w:kern w:val="2"/>
                <w:sz w:val="21"/>
                <w:szCs w:val="21"/>
              </w:rPr>
              <w:t>-96）二级标准</w:t>
            </w:r>
            <w:r>
              <w:rPr>
                <w:rFonts w:hint="eastAsia" w:ascii="Times New Roman"/>
                <w:color w:val="auto"/>
                <w:kern w:val="2"/>
                <w:sz w:val="21"/>
                <w:szCs w:val="21"/>
              </w:rPr>
              <w:t>。</w:t>
            </w:r>
          </w:p>
          <w:p>
            <w:pPr>
              <w:pStyle w:val="23"/>
              <w:spacing w:line="360" w:lineRule="auto"/>
              <w:ind w:firstLine="0"/>
              <w:jc w:val="both"/>
              <w:rPr>
                <w:rFonts w:hint="eastAsia" w:ascii="Times New Roman"/>
                <w:color w:val="auto"/>
                <w:sz w:val="21"/>
              </w:rPr>
            </w:pPr>
            <w:r>
              <w:rPr>
                <w:rFonts w:hint="eastAsia" w:ascii="Times New Roman"/>
                <w:b/>
                <w:bCs/>
                <w:color w:val="auto"/>
                <w:sz w:val="21"/>
                <w:lang w:eastAsia="zh-CN"/>
              </w:rPr>
              <w:t>施工</w:t>
            </w:r>
            <w:r>
              <w:rPr>
                <w:rFonts w:hint="eastAsia" w:ascii="Times New Roman"/>
                <w:b/>
                <w:bCs/>
                <w:color w:val="auto"/>
                <w:sz w:val="21"/>
              </w:rPr>
              <w:t>厂界环境噪声排放标准：</w:t>
            </w:r>
          </w:p>
          <w:p>
            <w:pPr>
              <w:pStyle w:val="23"/>
              <w:spacing w:line="360" w:lineRule="auto"/>
              <w:ind w:firstLine="420" w:firstLineChars="200"/>
              <w:jc w:val="both"/>
              <w:rPr>
                <w:rFonts w:hint="eastAsia" w:ascii="Times New Roman"/>
                <w:color w:val="auto"/>
                <w:sz w:val="21"/>
              </w:rPr>
            </w:pPr>
            <w:r>
              <w:rPr>
                <w:rFonts w:hint="eastAsia" w:ascii="Times New Roman"/>
                <w:color w:val="auto"/>
                <w:sz w:val="21"/>
              </w:rPr>
              <w:t>施工期噪声执行《建筑施工场界环境噪声排放标准》（GB12523 -2011）（昼间：70dB(A) ，夜间：55dB(A)）dB(A)。</w:t>
            </w:r>
          </w:p>
          <w:p>
            <w:pPr>
              <w:pStyle w:val="23"/>
              <w:spacing w:line="360" w:lineRule="auto"/>
              <w:ind w:firstLine="0"/>
              <w:jc w:val="both"/>
              <w:rPr>
                <w:rFonts w:hint="eastAsia" w:ascii="Times New Roman"/>
                <w:color w:val="auto"/>
                <w:kern w:val="2"/>
                <w:sz w:val="21"/>
                <w:szCs w:val="21"/>
              </w:rPr>
            </w:pPr>
            <w:r>
              <w:rPr>
                <w:rFonts w:ascii="Times New Roman"/>
                <w:b/>
                <w:bCs/>
                <w:color w:val="auto"/>
                <w:kern w:val="2"/>
                <w:sz w:val="21"/>
                <w:szCs w:val="21"/>
              </w:rPr>
              <w:t>污水排放：</w:t>
            </w:r>
          </w:p>
          <w:p>
            <w:pPr>
              <w:pStyle w:val="23"/>
              <w:spacing w:line="360" w:lineRule="auto"/>
              <w:ind w:firstLine="420" w:firstLineChars="200"/>
              <w:jc w:val="both"/>
              <w:rPr>
                <w:rFonts w:hint="eastAsia" w:ascii="Times New Roman"/>
                <w:color w:val="auto"/>
                <w:kern w:val="2"/>
                <w:sz w:val="21"/>
                <w:szCs w:val="21"/>
              </w:rPr>
            </w:pPr>
            <w:r>
              <w:rPr>
                <w:rFonts w:hint="eastAsia" w:ascii="Times New Roman"/>
                <w:color w:val="auto"/>
                <w:kern w:val="2"/>
                <w:sz w:val="21"/>
                <w:szCs w:val="21"/>
                <w:lang w:eastAsia="zh-CN"/>
              </w:rPr>
              <w:t>无</w:t>
            </w:r>
            <w:r>
              <w:rPr>
                <w:rFonts w:ascii="Times New Roman"/>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35" w:hRule="atLeast"/>
          <w:jc w:val="center"/>
        </w:trPr>
        <w:tc>
          <w:tcPr>
            <w:tcW w:w="736" w:type="dxa"/>
            <w:tcBorders>
              <w:top w:val="single" w:color="auto" w:sz="6" w:space="0"/>
              <w:bottom w:val="single" w:color="auto" w:sz="4" w:space="0"/>
              <w:right w:val="single" w:color="auto" w:sz="6" w:space="0"/>
            </w:tcBorders>
            <w:textDirection w:val="tbRlV"/>
            <w:vAlign w:val="center"/>
          </w:tcPr>
          <w:p>
            <w:pPr>
              <w:pStyle w:val="23"/>
              <w:spacing w:line="240" w:lineRule="auto"/>
              <w:ind w:left="113" w:right="113" w:firstLine="0"/>
              <w:jc w:val="center"/>
              <w:rPr>
                <w:rFonts w:hint="eastAsia" w:ascii="Times New Roman"/>
                <w:b/>
                <w:color w:val="auto"/>
                <w:sz w:val="21"/>
              </w:rPr>
            </w:pPr>
            <w:r>
              <w:rPr>
                <w:rFonts w:hint="eastAsia" w:ascii="Times New Roman"/>
                <w:b/>
                <w:color w:val="auto"/>
                <w:sz w:val="21"/>
              </w:rPr>
              <w:t>总 量 控 制 指 标</w:t>
            </w:r>
          </w:p>
        </w:tc>
        <w:tc>
          <w:tcPr>
            <w:tcW w:w="8083" w:type="dxa"/>
            <w:tcBorders>
              <w:top w:val="single" w:color="auto" w:sz="6" w:space="0"/>
              <w:left w:val="single" w:color="auto" w:sz="6" w:space="0"/>
              <w:bottom w:val="single" w:color="auto" w:sz="4" w:space="0"/>
            </w:tcBorders>
            <w:vAlign w:val="center"/>
          </w:tcPr>
          <w:p>
            <w:pPr>
              <w:pStyle w:val="23"/>
              <w:spacing w:line="240" w:lineRule="atLeast"/>
              <w:ind w:firstLine="205" w:firstLineChars="98"/>
              <w:rPr>
                <w:rFonts w:hint="eastAsia" w:ascii="Times New Roman"/>
                <w:bCs/>
                <w:color w:val="auto"/>
                <w:sz w:val="21"/>
              </w:rPr>
            </w:pPr>
            <w:r>
              <w:rPr>
                <w:rFonts w:hint="eastAsia" w:ascii="Times New Roman"/>
                <w:color w:val="auto"/>
                <w:sz w:val="21"/>
              </w:rPr>
              <w:t>无</w:t>
            </w:r>
          </w:p>
        </w:tc>
      </w:tr>
    </w:tbl>
    <w:p>
      <w:pPr>
        <w:rPr>
          <w:rFonts w:ascii="Times New Roman" w:hAnsi="Times New Roman"/>
          <w:color w:val="auto"/>
        </w:rPr>
      </w:pPr>
    </w:p>
    <w:p>
      <w:pPr>
        <w:outlineLvl w:val="0"/>
        <w:rPr>
          <w:rFonts w:ascii="Times New Roman" w:hAnsi="Times New Roman"/>
          <w:b/>
          <w:color w:val="auto"/>
          <w:sz w:val="28"/>
          <w:szCs w:val="28"/>
        </w:rPr>
      </w:pPr>
      <w:r>
        <w:rPr>
          <w:rFonts w:ascii="Times New Roman" w:hAnsi="Times New Roman"/>
          <w:color w:val="auto"/>
        </w:rPr>
        <w:br w:type="page"/>
      </w:r>
      <w:bookmarkStart w:id="22" w:name="_Toc522457751"/>
      <w:bookmarkStart w:id="23" w:name="_Toc339020806"/>
      <w:r>
        <w:rPr>
          <w:rFonts w:ascii="Times New Roman" w:hAnsi="Times New Roman"/>
          <w:b/>
          <w:color w:val="auto"/>
          <w:sz w:val="28"/>
          <w:szCs w:val="28"/>
        </w:rPr>
        <w:t>5建设项目工程分析</w:t>
      </w:r>
      <w:bookmarkEnd w:id="22"/>
      <w:bookmarkEnd w:id="23"/>
    </w:p>
    <w:tbl>
      <w:tblPr>
        <w:tblStyle w:val="50"/>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68" w:hRule="atLeast"/>
        </w:trPr>
        <w:tc>
          <w:tcPr>
            <w:tcW w:w="8647" w:type="dxa"/>
            <w:tcBorders>
              <w:top w:val="single" w:color="auto" w:sz="6" w:space="0"/>
              <w:bottom w:val="single" w:color="auto" w:sz="6" w:space="0"/>
            </w:tcBorders>
            <w:vAlign w:val="top"/>
          </w:tcPr>
          <w:p>
            <w:pPr>
              <w:spacing w:before="156" w:beforeLines="50"/>
              <w:outlineLvl w:val="1"/>
              <w:rPr>
                <w:rFonts w:hint="eastAsia" w:ascii="Times New Roman" w:hAnsi="Times New Roman"/>
                <w:b/>
                <w:color w:val="auto"/>
                <w:sz w:val="24"/>
                <w:szCs w:val="24"/>
              </w:rPr>
            </w:pPr>
            <w:r>
              <w:rPr>
                <w:rFonts w:ascii="Times New Roman" w:hAnsi="Times New Roman"/>
                <w:b/>
                <w:color w:val="auto"/>
                <w:sz w:val="24"/>
                <w:szCs w:val="24"/>
              </w:rPr>
              <mc:AlternateContent>
                <mc:Choice Requires="wps">
                  <w:drawing>
                    <wp:anchor distT="0" distB="0" distL="114300" distR="114300" simplePos="0" relativeHeight="251658240" behindDoc="0" locked="0" layoutInCell="0" allowOverlap="1">
                      <wp:simplePos x="0" y="0"/>
                      <wp:positionH relativeFrom="column">
                        <wp:posOffset>2533650</wp:posOffset>
                      </wp:positionH>
                      <wp:positionV relativeFrom="paragraph">
                        <wp:posOffset>2098040</wp:posOffset>
                      </wp:positionV>
                      <wp:extent cx="635" cy="0"/>
                      <wp:effectExtent l="0" t="0" r="0" b="0"/>
                      <wp:wrapNone/>
                      <wp:docPr id="1" name="Line 13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34" o:spid="_x0000_s1026" o:spt="20" style="position:absolute;left:0pt;margin-left:199.5pt;margin-top:165.2pt;height:0pt;width:0.05pt;z-index:251658240;mso-width-relative:page;mso-height-relative:page;" filled="f" stroked="t" coordsize="21600,21600" o:allowincell="f" o:gfxdata="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9sLnHWAAAACwEAAA8AAAAAAAAAAQAgAAAAIgAAAGRycy9kb3ducmV2LnhtbFBL&#10;AQIUABQAAAAIAIdO4kDZBbf5vwEAAIkDAAAOAAAAAAAAAAEAIAAAACUBAABkcnMvZTJvRG9jLnht&#10;bFBLBQYAAAAABgAGAFkBAABWBQAAAAA=&#10;">
                      <v:fill on="f" focussize="0,0"/>
                      <v:stroke color="#000000" joinstyle="round"/>
                      <v:imagedata o:title=""/>
                      <o:lock v:ext="edit" aspectratio="f"/>
                    </v:line>
                  </w:pict>
                </mc:Fallback>
              </mc:AlternateContent>
            </w:r>
            <w:r>
              <w:rPr>
                <w:rFonts w:hint="eastAsia" w:ascii="Times New Roman" w:hAnsi="Times New Roman"/>
                <w:b/>
                <w:color w:val="auto"/>
                <w:sz w:val="24"/>
                <w:szCs w:val="24"/>
              </w:rPr>
              <w:t xml:space="preserve">5.1 </w:t>
            </w:r>
            <w:r>
              <w:rPr>
                <w:rFonts w:ascii="Times New Roman" w:hAnsi="Times New Roman"/>
                <w:b/>
                <w:color w:val="auto"/>
                <w:sz w:val="24"/>
                <w:szCs w:val="24"/>
              </w:rPr>
              <w:t>工艺流程简述（图示）</w:t>
            </w:r>
          </w:p>
          <w:p>
            <w:pPr>
              <w:pStyle w:val="55"/>
              <w:spacing w:line="420" w:lineRule="exact"/>
              <w:ind w:firstLine="420" w:firstLineChars="200"/>
              <w:rPr>
                <w:rFonts w:ascii="Times New Roman"/>
                <w:color w:val="auto"/>
                <w:sz w:val="21"/>
              </w:rPr>
            </w:pPr>
            <w:r>
              <w:rPr>
                <w:rFonts w:ascii="Times New Roman" w:hAnsi="宋体"/>
                <w:color w:val="auto"/>
                <w:sz w:val="21"/>
              </w:rPr>
              <w:t>在输送电能时，采用</w:t>
            </w:r>
            <w:r>
              <w:rPr>
                <w:rFonts w:hint="eastAsia" w:ascii="Times New Roman"/>
                <w:color w:val="auto"/>
                <w:sz w:val="21"/>
              </w:rPr>
              <w:t>22</w:t>
            </w:r>
            <w:r>
              <w:rPr>
                <w:rFonts w:ascii="Times New Roman"/>
                <w:color w:val="auto"/>
                <w:sz w:val="21"/>
              </w:rPr>
              <w:t>0kV</w:t>
            </w:r>
            <w:r>
              <w:rPr>
                <w:rFonts w:ascii="Times New Roman" w:hAnsi="宋体"/>
                <w:color w:val="auto"/>
                <w:sz w:val="21"/>
              </w:rPr>
              <w:t>高压输送可减少线路损耗，提高能源利用率。由于高压电能不能直接提供给工农业生产和人民生活使用，必须进行逐级降压。</w:t>
            </w:r>
          </w:p>
          <w:p>
            <w:pPr>
              <w:spacing w:line="400" w:lineRule="exact"/>
              <w:ind w:firstLine="420" w:firstLineChars="200"/>
              <w:rPr>
                <w:rFonts w:hint="eastAsia" w:ascii="Times New Roman" w:hAnsi="Times New Roman"/>
                <w:color w:val="auto"/>
              </w:rPr>
            </w:pPr>
            <w:r>
              <w:rPr>
                <w:rFonts w:ascii="Times New Roman" w:hAnsi="宋体"/>
                <w:color w:val="auto"/>
              </w:rPr>
              <w:t>本工程将来自</w:t>
            </w:r>
            <w:r>
              <w:rPr>
                <w:rFonts w:hint="eastAsia" w:ascii="Times New Roman" w:hAnsi="宋体"/>
                <w:color w:val="auto"/>
                <w:lang w:eastAsia="zh-CN"/>
              </w:rPr>
              <w:t>文昌气电厂</w:t>
            </w:r>
            <w:r>
              <w:rPr>
                <w:rFonts w:ascii="Times New Roman" w:hAnsi="宋体"/>
                <w:color w:val="auto"/>
              </w:rPr>
              <w:t>的电能通过</w:t>
            </w:r>
            <w:r>
              <w:rPr>
                <w:rFonts w:hint="eastAsia" w:ascii="Times New Roman" w:hAnsi="宋体"/>
                <w:color w:val="auto"/>
                <w:lang w:val="en-US" w:eastAsia="zh-CN"/>
              </w:rPr>
              <w:t>220kV</w:t>
            </w:r>
            <w:r>
              <w:rPr>
                <w:rFonts w:ascii="Times New Roman" w:hAnsi="宋体"/>
                <w:color w:val="auto"/>
              </w:rPr>
              <w:t>架空输电线路</w:t>
            </w:r>
            <w:r>
              <w:rPr>
                <w:rFonts w:hint="eastAsia" w:ascii="Times New Roman" w:hAnsi="宋体"/>
                <w:color w:val="auto"/>
                <w:lang w:eastAsia="zh-CN"/>
              </w:rPr>
              <w:t>送至</w:t>
            </w:r>
            <w:r>
              <w:rPr>
                <w:rFonts w:hint="eastAsia" w:ascii="Times New Roman"/>
                <w:color w:val="auto"/>
              </w:rPr>
              <w:t>22</w:t>
            </w:r>
            <w:r>
              <w:rPr>
                <w:rFonts w:ascii="Times New Roman"/>
                <w:color w:val="auto"/>
              </w:rPr>
              <w:t>0kV</w:t>
            </w:r>
            <w:r>
              <w:rPr>
                <w:rFonts w:ascii="Times New Roman" w:hAnsi="宋体"/>
                <w:color w:val="auto"/>
              </w:rPr>
              <w:t>变电</w:t>
            </w:r>
            <w:r>
              <w:rPr>
                <w:rFonts w:hint="eastAsia" w:ascii="Times New Roman" w:hAnsi="宋体"/>
                <w:color w:val="auto"/>
              </w:rPr>
              <w:t>站</w:t>
            </w:r>
            <w:r>
              <w:rPr>
                <w:rFonts w:ascii="Times New Roman" w:hAnsi="宋体"/>
                <w:color w:val="auto"/>
              </w:rPr>
              <w:t>。输变电工程的工艺流程与</w:t>
            </w:r>
            <w:r>
              <w:rPr>
                <w:rFonts w:hint="eastAsia" w:ascii="Times New Roman" w:hAnsi="宋体"/>
                <w:color w:val="auto"/>
              </w:rPr>
              <w:t>对环境的影响</w:t>
            </w:r>
            <w:r>
              <w:rPr>
                <w:rFonts w:ascii="Times New Roman" w:hAnsi="宋体"/>
                <w:color w:val="auto"/>
              </w:rPr>
              <w:t>过程</w:t>
            </w:r>
            <w:r>
              <w:rPr>
                <w:rFonts w:ascii="Times New Roman" w:hAnsi="Times New Roman"/>
                <w:color w:val="auto"/>
              </w:rPr>
              <w:t>见下图所示。</w:t>
            </w:r>
          </w:p>
          <w:p>
            <w:pPr>
              <w:spacing w:line="240" w:lineRule="atLeast"/>
              <w:rPr>
                <w:rFonts w:hint="eastAsia" w:ascii="Times New Roman" w:hAnsi="Times New Roman"/>
                <w:b/>
                <w:color w:val="auto"/>
                <w:szCs w:val="20"/>
              </w:rPr>
            </w:pPr>
          </w:p>
          <w:p>
            <w:pPr>
              <w:spacing w:line="240" w:lineRule="atLeast"/>
              <w:rPr>
                <w:rFonts w:hint="eastAsia" w:ascii="Times New Roman" w:hAnsi="Times New Roman"/>
                <w:b/>
                <w:color w:val="auto"/>
                <w:szCs w:val="20"/>
              </w:rPr>
            </w:pPr>
            <w:r>
              <w:rPr>
                <w:rFonts w:ascii="Times New Roman" w:hAnsi="Times New Roman"/>
                <w:b/>
                <w:color w:val="auto"/>
                <w:szCs w:val="20"/>
              </w:rPr>
              <mc:AlternateContent>
                <mc:Choice Requires="wps">
                  <w:drawing>
                    <wp:anchor distT="0" distB="0" distL="114300" distR="114300" simplePos="0" relativeHeight="251668480" behindDoc="0" locked="0" layoutInCell="1" allowOverlap="1">
                      <wp:simplePos x="0" y="0"/>
                      <wp:positionH relativeFrom="column">
                        <wp:posOffset>1182370</wp:posOffset>
                      </wp:positionH>
                      <wp:positionV relativeFrom="paragraph">
                        <wp:posOffset>168910</wp:posOffset>
                      </wp:positionV>
                      <wp:extent cx="2171700" cy="685165"/>
                      <wp:effectExtent l="4445" t="4445" r="14605" b="15240"/>
                      <wp:wrapNone/>
                      <wp:docPr id="11" name="Text Box 157"/>
                      <wp:cNvGraphicFramePr/>
                      <a:graphic xmlns:a="http://schemas.openxmlformats.org/drawingml/2006/main">
                        <a:graphicData uri="http://schemas.microsoft.com/office/word/2010/wordprocessingShape">
                          <wps:wsp>
                            <wps:cNvSpPr txBox="1"/>
                            <wps:spPr>
                              <a:xfrm>
                                <a:off x="0" y="0"/>
                                <a:ext cx="2171700" cy="685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b/>
                                      <w:bCs/>
                                    </w:rPr>
                                  </w:pPr>
                                  <w:r>
                                    <w:rPr>
                                      <w:rFonts w:hint="eastAsia"/>
                                      <w:b/>
                                      <w:bCs/>
                                    </w:rPr>
                                    <w:t>施工噪声、施工扬尘、植被破坏、土地占用、固体废弃物、施工废水</w:t>
                                  </w:r>
                                </w:p>
                                <w:p>
                                  <w:pPr>
                                    <w:spacing w:line="360" w:lineRule="auto"/>
                                    <w:jc w:val="center"/>
                                    <w:rPr>
                                      <w:b/>
                                      <w:bCs/>
                                    </w:rPr>
                                  </w:pPr>
                                </w:p>
                                <w:p/>
                              </w:txbxContent>
                            </wps:txbx>
                            <wps:bodyPr wrap="square" upright="1"/>
                          </wps:wsp>
                        </a:graphicData>
                      </a:graphic>
                    </wp:anchor>
                  </w:drawing>
                </mc:Choice>
                <mc:Fallback>
                  <w:pict>
                    <v:shape id="Text Box 157" o:spid="_x0000_s1026" o:spt="202" type="#_x0000_t202" style="position:absolute;left:0pt;margin-left:93.1pt;margin-top:13.3pt;height:53.95pt;width:171pt;z-index:251668480;mso-width-relative:page;mso-height-relative:page;" fillcolor="#FFFFFF" filled="t" stroked="t" coordsize="21600,21600" o:gfxdata="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t9IDtgAAAAKAQAADwAAAAAAAAABACAAAAAiAAAAZHJzL2Rvd25yZXYueG1sUEsBAhQAFAAAAAgA&#10;h07iQPUz8RjsAQAA+AMAAA4AAAAAAAAAAQAgAAAAJwEAAGRycy9lMm9Eb2MueG1sUEsFBgAAAAAG&#10;AAYAWQEAAIUFAAAAAA==&#10;">
                      <v:fill on="t" focussize="0,0"/>
                      <v:stroke color="#000000" joinstyle="miter"/>
                      <v:imagedata o:title=""/>
                      <o:lock v:ext="edit" aspectratio="f"/>
                      <v:textbox>
                        <w:txbxContent>
                          <w:p>
                            <w:pPr>
                              <w:spacing w:line="360" w:lineRule="auto"/>
                              <w:jc w:val="center"/>
                              <w:rPr>
                                <w:b/>
                                <w:bCs/>
                              </w:rPr>
                            </w:pPr>
                            <w:r>
                              <w:rPr>
                                <w:rFonts w:hint="eastAsia"/>
                                <w:b/>
                                <w:bCs/>
                              </w:rPr>
                              <w:t>施工噪声、施工扬尘、植被破坏、土地占用、固体废弃物、施工废水</w:t>
                            </w:r>
                          </w:p>
                          <w:p>
                            <w:pPr>
                              <w:spacing w:line="360" w:lineRule="auto"/>
                              <w:jc w:val="center"/>
                              <w:rPr>
                                <w:b/>
                                <w:bCs/>
                              </w:rPr>
                            </w:pPr>
                          </w:p>
                          <w:p/>
                        </w:txbxContent>
                      </v:textbox>
                    </v:shape>
                  </w:pict>
                </mc:Fallback>
              </mc:AlternateContent>
            </w:r>
          </w:p>
          <w:p>
            <w:pPr>
              <w:spacing w:line="240" w:lineRule="atLeast"/>
              <w:rPr>
                <w:rFonts w:ascii="Times New Roman" w:hAnsi="Times New Roman"/>
                <w:b/>
                <w:color w:val="auto"/>
                <w:szCs w:val="20"/>
              </w:rPr>
            </w:pPr>
            <w:r>
              <w:rPr>
                <w:rFonts w:ascii="Times New Roman" w:hAnsi="Times New Roman"/>
                <w:b/>
                <w:color w:val="auto"/>
                <w:szCs w:val="20"/>
              </w:rPr>
              <mc:AlternateContent>
                <mc:Choice Requires="wps">
                  <w:drawing>
                    <wp:anchor distT="0" distB="0" distL="114300" distR="114300" simplePos="0" relativeHeight="251666432" behindDoc="0" locked="0" layoutInCell="1" allowOverlap="1">
                      <wp:simplePos x="0" y="0"/>
                      <wp:positionH relativeFrom="column">
                        <wp:posOffset>2159000</wp:posOffset>
                      </wp:positionH>
                      <wp:positionV relativeFrom="paragraph">
                        <wp:posOffset>664210</wp:posOffset>
                      </wp:positionV>
                      <wp:extent cx="0" cy="396240"/>
                      <wp:effectExtent l="38100" t="0" r="38100" b="3810"/>
                      <wp:wrapNone/>
                      <wp:docPr id="9" name="Line 172"/>
                      <wp:cNvGraphicFramePr/>
                      <a:graphic xmlns:a="http://schemas.openxmlformats.org/drawingml/2006/main">
                        <a:graphicData uri="http://schemas.microsoft.com/office/word/2010/wordprocessingShape">
                          <wps:wsp>
                            <wps:cNvCnPr/>
                            <wps:spPr>
                              <a:xfrm flipV="1">
                                <a:off x="0" y="0"/>
                                <a:ext cx="0" cy="39624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Line 172" o:spid="_x0000_s1026" o:spt="20" style="position:absolute;left:0pt;flip:y;margin-left:170pt;margin-top:52.3pt;height:31.2pt;width:0pt;z-index:251666432;mso-width-relative:page;mso-height-relative:page;" filled="f" stroked="t" coordsize="21600,21600" o:gfxdata="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lYV8NYAAAALAQAADwAAAAAAAAABACAAAAAiAAAA&#10;ZHJzL2Rvd25yZXYueG1sUEsBAhQAFAAAAAgAh07iQOJlLVzQAQAAmwMAAA4AAAAAAAAAAQAgAAAA&#10;JQEAAGRycy9lMm9Eb2MueG1sUEsFBgAAAAAGAAYAWQEAAGcFAAAAAA==&#10;">
                      <v:fill on="f" focussize="0,0"/>
                      <v:stroke weight="1.5pt" color="#000000" joinstyle="round" endarrow="block"/>
                      <v:imagedata o:title=""/>
                      <o:lock v:ext="edit" aspectratio="f"/>
                    </v:line>
                  </w:pict>
                </mc:Fallback>
              </mc:AlternateContent>
            </w:r>
            <w:r>
              <w:rPr>
                <w:rFonts w:ascii="Times New Roman" w:hAnsi="Times New Roman"/>
                <w:b/>
                <w:color w:val="auto"/>
                <w:szCs w:val="20"/>
              </w:rPr>
              <mc:AlternateContent>
                <mc:Choice Requires="wps">
                  <w:drawing>
                    <wp:anchor distT="0" distB="0" distL="114300" distR="114300" simplePos="0" relativeHeight="251659264" behindDoc="0" locked="0" layoutInCell="1" allowOverlap="1">
                      <wp:simplePos x="0" y="0"/>
                      <wp:positionH relativeFrom="column">
                        <wp:posOffset>3315970</wp:posOffset>
                      </wp:positionH>
                      <wp:positionV relativeFrom="paragraph">
                        <wp:posOffset>986155</wp:posOffset>
                      </wp:positionV>
                      <wp:extent cx="1590675" cy="673100"/>
                      <wp:effectExtent l="13970" t="13970" r="14605" b="17780"/>
                      <wp:wrapNone/>
                      <wp:docPr id="2" name="Text Box 155"/>
                      <wp:cNvGraphicFramePr/>
                      <a:graphic xmlns:a="http://schemas.openxmlformats.org/drawingml/2006/main">
                        <a:graphicData uri="http://schemas.microsoft.com/office/word/2010/wordprocessingShape">
                          <wps:wsp>
                            <wps:cNvSpPr txBox="1"/>
                            <wps:spPr>
                              <a:xfrm>
                                <a:off x="0" y="0"/>
                                <a:ext cx="1590675" cy="673100"/>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spacing w:before="156" w:beforeLines="50"/>
                                    <w:jc w:val="center"/>
                                    <w:rPr>
                                      <w:rFonts w:hint="default" w:eastAsia="宋体"/>
                                      <w:b/>
                                      <w:lang w:val="en-US" w:eastAsia="zh-CN"/>
                                    </w:rPr>
                                  </w:pPr>
                                  <w:r>
                                    <w:rPr>
                                      <w:rFonts w:hint="eastAsia" w:ascii="Times New Roman" w:hAnsi="Times New Roman"/>
                                      <w:b/>
                                    </w:rPr>
                                    <w:t>22</w:t>
                                  </w:r>
                                  <w:r>
                                    <w:rPr>
                                      <w:rFonts w:ascii="Times New Roman" w:hAnsi="Times New Roman"/>
                                      <w:b/>
                                    </w:rPr>
                                    <w:t>0kV</w:t>
                                  </w:r>
                                  <w:r>
                                    <w:rPr>
                                      <w:rFonts w:hint="eastAsia" w:ascii="Times New Roman" w:hAnsi="Times New Roman"/>
                                      <w:b/>
                                      <w:lang w:eastAsia="zh-CN"/>
                                    </w:rPr>
                                    <w:t>玉洲</w:t>
                                  </w:r>
                                  <w:r>
                                    <w:rPr>
                                      <w:rFonts w:hint="eastAsia" w:ascii="Times New Roman" w:hAnsi="Times New Roman"/>
                                      <w:b/>
                                      <w:lang w:val="en-US" w:eastAsia="zh-CN"/>
                                    </w:rPr>
                                    <w:t>~江东线路π接点</w:t>
                                  </w:r>
                                </w:p>
                              </w:txbxContent>
                            </wps:txbx>
                            <wps:bodyPr vert="horz" wrap="square" anchor="t" upright="1"/>
                          </wps:wsp>
                        </a:graphicData>
                      </a:graphic>
                    </wp:anchor>
                  </w:drawing>
                </mc:Choice>
                <mc:Fallback>
                  <w:pict>
                    <v:shape id="Text Box 155" o:spid="_x0000_s1026" o:spt="202" type="#_x0000_t202" style="position:absolute;left:0pt;margin-left:261.1pt;margin-top:77.65pt;height:53pt;width:125.25pt;z-index:251659264;mso-width-relative:page;mso-height-relative:page;" fillcolor="#FFFFFF" filled="t" stroked="t" coordsize="21600,21600" o:gfxdata="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rKnwdoAAAALAQAADwAAAAAAAAABACAAAAAiAAAAZHJzL2Rvd25y&#10;ZXYueG1sUEsBAhQAFAAAAAgAh07iQEVCvOb8AQAADwQAAA4AAAAAAAAAAQAgAAAAKQEAAGRycy9l&#10;Mm9Eb2MueG1sUEsFBgAAAAAGAAYAWQEAAJcFAAAAAA==&#10;">
                      <v:fill on="t" focussize="0,0"/>
                      <v:stroke weight="2.25pt" color="#000000" joinstyle="miter"/>
                      <v:imagedata o:title=""/>
                      <o:lock v:ext="edit" aspectratio="f"/>
                      <v:textbox>
                        <w:txbxContent>
                          <w:p>
                            <w:pPr>
                              <w:spacing w:before="156" w:beforeLines="50"/>
                              <w:jc w:val="center"/>
                              <w:rPr>
                                <w:rFonts w:hint="default" w:eastAsia="宋体"/>
                                <w:b/>
                                <w:lang w:val="en-US" w:eastAsia="zh-CN"/>
                              </w:rPr>
                            </w:pPr>
                            <w:r>
                              <w:rPr>
                                <w:rFonts w:hint="eastAsia" w:ascii="Times New Roman" w:hAnsi="Times New Roman"/>
                                <w:b/>
                              </w:rPr>
                              <w:t>22</w:t>
                            </w:r>
                            <w:r>
                              <w:rPr>
                                <w:rFonts w:ascii="Times New Roman" w:hAnsi="Times New Roman"/>
                                <w:b/>
                              </w:rPr>
                              <w:t>0kV</w:t>
                            </w:r>
                            <w:r>
                              <w:rPr>
                                <w:rFonts w:hint="eastAsia" w:ascii="Times New Roman" w:hAnsi="Times New Roman"/>
                                <w:b/>
                                <w:lang w:eastAsia="zh-CN"/>
                              </w:rPr>
                              <w:t>玉洲</w:t>
                            </w:r>
                            <w:r>
                              <w:rPr>
                                <w:rFonts w:hint="eastAsia" w:ascii="Times New Roman" w:hAnsi="Times New Roman"/>
                                <w:b/>
                                <w:lang w:val="en-US" w:eastAsia="zh-CN"/>
                              </w:rPr>
                              <w:t>~江东线路π接点</w:t>
                            </w:r>
                          </w:p>
                        </w:txbxContent>
                      </v:textbox>
                    </v:shape>
                  </w:pict>
                </mc:Fallback>
              </mc:AlternateContent>
            </w:r>
            <w:r>
              <w:rPr>
                <w:rFonts w:ascii="Times New Roman" w:hAnsi="Times New Roman"/>
                <w:b/>
                <w:color w:val="auto"/>
                <w:szCs w:val="20"/>
              </w:rPr>
              <mc:AlternateContent>
                <mc:Choice Requires="wps">
                  <w:drawing>
                    <wp:anchor distT="0" distB="0" distL="114300" distR="114300" simplePos="0" relativeHeight="251667456" behindDoc="0" locked="0" layoutInCell="1" allowOverlap="1">
                      <wp:simplePos x="0" y="0"/>
                      <wp:positionH relativeFrom="column">
                        <wp:posOffset>2157730</wp:posOffset>
                      </wp:positionH>
                      <wp:positionV relativeFrom="paragraph">
                        <wp:posOffset>1329055</wp:posOffset>
                      </wp:positionV>
                      <wp:extent cx="0" cy="581025"/>
                      <wp:effectExtent l="38100" t="0" r="38100" b="9525"/>
                      <wp:wrapNone/>
                      <wp:docPr id="10" name="Line 173"/>
                      <wp:cNvGraphicFramePr/>
                      <a:graphic xmlns:a="http://schemas.openxmlformats.org/drawingml/2006/main">
                        <a:graphicData uri="http://schemas.microsoft.com/office/word/2010/wordprocessingShape">
                          <wps:wsp>
                            <wps:cNvCnPr/>
                            <wps:spPr>
                              <a:xfrm>
                                <a:off x="0" y="0"/>
                                <a:ext cx="0" cy="581025"/>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Line 173" o:spid="_x0000_s1026" o:spt="20" style="position:absolute;left:0pt;margin-left:169.9pt;margin-top:104.65pt;height:45.75pt;width:0pt;z-index:251667456;mso-width-relative:page;mso-height-relative:page;" filled="f" stroked="t" coordsize="21600,21600" o:gfxdata="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XPKXWAAAACwEAAA8AAAAAAAAAAQAgAAAAIgAAAGRycy9kb3ducmV2&#10;LnhtbFBLAQIUABQAAAAIAIdO4kDZ4WtOxQEAAJIDAAAOAAAAAAAAAAEAIAAAACUBAABkcnMvZTJv&#10;RG9jLnhtbFBLBQYAAAAABgAGAFkBAABcBQAAAAA=&#10;">
                      <v:fill on="f" focussize="0,0"/>
                      <v:stroke weight="1.5pt" color="#000000" joinstyle="round" endarrow="block"/>
                      <v:imagedata o:title=""/>
                      <o:lock v:ext="edit" aspectratio="f"/>
                    </v:line>
                  </w:pict>
                </mc:Fallback>
              </mc:AlternateContent>
            </w:r>
            <w:r>
              <w:rPr>
                <w:rFonts w:ascii="Times New Roman" w:hAnsi="Times New Roman"/>
                <w:b/>
                <w:color w:val="auto"/>
                <w:szCs w:val="20"/>
              </w:rPr>
              <mc:AlternateContent>
                <mc:Choice Requires="wps">
                  <w:drawing>
                    <wp:anchor distT="0" distB="0" distL="114300" distR="114300" simplePos="0" relativeHeight="251663360" behindDoc="0" locked="0" layoutInCell="1" allowOverlap="1">
                      <wp:simplePos x="0" y="0"/>
                      <wp:positionH relativeFrom="column">
                        <wp:posOffset>1715770</wp:posOffset>
                      </wp:positionH>
                      <wp:positionV relativeFrom="paragraph">
                        <wp:posOffset>1031875</wp:posOffset>
                      </wp:positionV>
                      <wp:extent cx="796925" cy="396240"/>
                      <wp:effectExtent l="4445" t="4445" r="17780" b="18415"/>
                      <wp:wrapNone/>
                      <wp:docPr id="6" name="Rectangle 167"/>
                      <wp:cNvGraphicFramePr/>
                      <a:graphic xmlns:a="http://schemas.openxmlformats.org/drawingml/2006/main">
                        <a:graphicData uri="http://schemas.microsoft.com/office/word/2010/wordprocessingShape">
                          <wps:wsp>
                            <wps:cNvSpPr/>
                            <wps:spPr>
                              <a:xfrm>
                                <a:off x="0" y="0"/>
                                <a:ext cx="796925"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b/>
                                    </w:rPr>
                                  </w:pPr>
                                  <w:r>
                                    <w:rPr>
                                      <w:rFonts w:hint="eastAsia"/>
                                      <w:b/>
                                    </w:rPr>
                                    <w:t>线路工程</w:t>
                                  </w:r>
                                </w:p>
                              </w:txbxContent>
                            </wps:txbx>
                            <wps:bodyPr wrap="square" upright="1"/>
                          </wps:wsp>
                        </a:graphicData>
                      </a:graphic>
                    </wp:anchor>
                  </w:drawing>
                </mc:Choice>
                <mc:Fallback>
                  <w:pict>
                    <v:rect id="Rectangle 167" o:spid="_x0000_s1026" o:spt="1" style="position:absolute;left:0pt;margin-left:135.1pt;margin-top:81.25pt;height:31.2pt;width:62.75pt;z-index:251663360;mso-width-relative:page;mso-height-relative:page;" fillcolor="#FFFFFF" filled="t" stroked="t" coordsize="21600,21600" o:gfxdata="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gSl1/YAAAA&#10;CwEAAA8AAAAAAAAAAQAgAAAAIgAAAGRycy9kb3ducmV2LnhtbFBLAQIUABQAAAAIAIdO4kCIkXfc&#10;5AEAAO0DAAAOAAAAAAAAAAEAIAAAACcBAABkcnMvZTJvRG9jLnhtbFBLBQYAAAAABgAGAFkBAAB9&#10;BQAAAAA=&#10;">
                      <v:fill on="t" focussize="0,0"/>
                      <v:stroke color="#FFFFFF" joinstyle="miter"/>
                      <v:imagedata o:title=""/>
                      <o:lock v:ext="edit" aspectratio="f"/>
                      <v:textbox>
                        <w:txbxContent>
                          <w:p>
                            <w:pPr>
                              <w:rPr>
                                <w:b/>
                              </w:rPr>
                            </w:pPr>
                            <w:r>
                              <w:rPr>
                                <w:rFonts w:hint="eastAsia"/>
                                <w:b/>
                              </w:rPr>
                              <w:t>线路工程</w:t>
                            </w:r>
                          </w:p>
                        </w:txbxContent>
                      </v:textbox>
                    </v:rect>
                  </w:pict>
                </mc:Fallback>
              </mc:AlternateContent>
            </w:r>
            <w:r>
              <w:rPr>
                <w:rFonts w:ascii="Times New Roman" w:hAnsi="Times New Roman"/>
                <w:b/>
                <w:color w:val="auto"/>
                <w:szCs w:val="20"/>
              </w:rPr>
              <mc:AlternateContent>
                <mc:Choice Requires="wps">
                  <w:drawing>
                    <wp:anchor distT="0" distB="0" distL="114300" distR="114300" simplePos="0" relativeHeight="251662336" behindDoc="0" locked="0" layoutInCell="1" allowOverlap="1">
                      <wp:simplePos x="0" y="0"/>
                      <wp:positionH relativeFrom="column">
                        <wp:posOffset>-19685</wp:posOffset>
                      </wp:positionH>
                      <wp:positionV relativeFrom="paragraph">
                        <wp:posOffset>1034415</wp:posOffset>
                      </wp:positionV>
                      <wp:extent cx="1334135" cy="484505"/>
                      <wp:effectExtent l="13970" t="14605" r="23495" b="15240"/>
                      <wp:wrapNone/>
                      <wp:docPr id="5" name="Text Box 165"/>
                      <wp:cNvGraphicFramePr/>
                      <a:graphic xmlns:a="http://schemas.openxmlformats.org/drawingml/2006/main">
                        <a:graphicData uri="http://schemas.microsoft.com/office/word/2010/wordprocessingShape">
                          <wps:wsp>
                            <wps:cNvSpPr txBox="1"/>
                            <wps:spPr>
                              <a:xfrm>
                                <a:off x="0" y="0"/>
                                <a:ext cx="1334135" cy="484505"/>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lang w:eastAsia="zh-CN"/>
                                    </w:rPr>
                                  </w:pPr>
                                  <w:r>
                                    <w:rPr>
                                      <w:rFonts w:hint="eastAsia" w:ascii="Times New Roman" w:hAnsi="Times New Roman"/>
                                      <w:b/>
                                      <w:lang w:eastAsia="zh-CN"/>
                                    </w:rPr>
                                    <w:t>文昌气电厂</w:t>
                                  </w:r>
                                </w:p>
                              </w:txbxContent>
                            </wps:txbx>
                            <wps:bodyPr wrap="square" upright="1"/>
                          </wps:wsp>
                        </a:graphicData>
                      </a:graphic>
                    </wp:anchor>
                  </w:drawing>
                </mc:Choice>
                <mc:Fallback>
                  <w:pict>
                    <v:shape id="Text Box 165" o:spid="_x0000_s1026" o:spt="202" type="#_x0000_t202" style="position:absolute;left:0pt;margin-left:-1.55pt;margin-top:81.45pt;height:38.15pt;width:105.05pt;z-index:251662336;mso-width-relative:page;mso-height-relative:page;" fillcolor="#FFFFFF" filled="t" stroked="t" coordsize="21600,21600" o:gfxdata="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WcTD/aAAAACgEAAA8AAAAAAAAAAQAgAAAAIgAAAGRycy9kb3ducmV2LnhtbFBLAQIUABQA&#10;AAAIAIdO4kDAFo3R7gEAAPgDAAAOAAAAAAAAAAEAIAAAACkBAABkcnMvZTJvRG9jLnhtbFBLBQYA&#10;AAAABgAGAFkBAACJBQAAAAA=&#10;">
                      <v:fill on="t" focussize="0,0"/>
                      <v:stroke weight="2.25pt" color="#000000" joinstyle="miter"/>
                      <v:imagedata o:title=""/>
                      <o:lock v:ext="edit" aspectratio="f"/>
                      <v:textbox>
                        <w:txbxContent>
                          <w:p>
                            <w:pPr>
                              <w:spacing w:before="156" w:beforeLines="50"/>
                              <w:jc w:val="center"/>
                              <w:rPr>
                                <w:rFonts w:hint="eastAsia" w:eastAsia="宋体"/>
                                <w:lang w:eastAsia="zh-CN"/>
                              </w:rPr>
                            </w:pPr>
                            <w:r>
                              <w:rPr>
                                <w:rFonts w:hint="eastAsia" w:ascii="Times New Roman" w:hAnsi="Times New Roman"/>
                                <w:b/>
                                <w:lang w:eastAsia="zh-CN"/>
                              </w:rPr>
                              <w:t>文昌气电厂</w:t>
                            </w:r>
                          </w:p>
                        </w:txbxContent>
                      </v:textbox>
                    </v:shape>
                  </w:pict>
                </mc:Fallback>
              </mc:AlternateContent>
            </w:r>
            <w:r>
              <w:rPr>
                <w:rFonts w:ascii="Times New Roman" w:hAnsi="Times New Roman"/>
                <w:b/>
                <w:color w:val="auto"/>
                <w:szCs w:val="20"/>
              </w:rPr>
              <mc:AlternateContent>
                <mc:Choice Requires="wps">
                  <w:drawing>
                    <wp:anchor distT="0" distB="0" distL="114300" distR="114300" simplePos="0" relativeHeight="251664384" behindDoc="0" locked="0" layoutInCell="1" allowOverlap="1">
                      <wp:simplePos x="0" y="0"/>
                      <wp:positionH relativeFrom="column">
                        <wp:posOffset>1314450</wp:posOffset>
                      </wp:positionH>
                      <wp:positionV relativeFrom="paragraph">
                        <wp:posOffset>1329055</wp:posOffset>
                      </wp:positionV>
                      <wp:extent cx="2001520" cy="0"/>
                      <wp:effectExtent l="0" t="38100" r="17780" b="38100"/>
                      <wp:wrapNone/>
                      <wp:docPr id="7" name="Line 162"/>
                      <wp:cNvGraphicFramePr/>
                      <a:graphic xmlns:a="http://schemas.openxmlformats.org/drawingml/2006/main">
                        <a:graphicData uri="http://schemas.microsoft.com/office/word/2010/wordprocessingShape">
                          <wps:wsp>
                            <wps:cNvCnPr/>
                            <wps:spPr>
                              <a:xfrm flipV="1">
                                <a:off x="0" y="0"/>
                                <a:ext cx="200152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62" o:spid="_x0000_s1026" o:spt="20" style="position:absolute;left:0pt;flip:y;margin-left:103.5pt;margin-top:104.65pt;height:0pt;width:157.6pt;z-index:251664384;mso-width-relative:page;mso-height-relative:page;" filled="f" stroked="t" coordsize="21600,21600" o:gfxdata="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SmFy2QAAAAsBAAAPAAAAAAAAAAEAIAAAACIA&#10;AABkcnMvZG93bnJldi54bWxQSwECFAAUAAAACACHTuJAaTqdIc8BAACbAwAADgAAAAAAAAABACAA&#10;AAAoAQAAZHJzL2Uyb0RvYy54bWxQSwUGAAAAAAYABgBZAQAAaQUAAAAA&#10;">
                      <v:fill on="f" focussize="0,0"/>
                      <v:stroke color="#000000" joinstyle="round" endarrow="block"/>
                      <v:imagedata o:title=""/>
                      <o:lock v:ext="edit" aspectratio="f"/>
                    </v:line>
                  </w:pict>
                </mc:Fallback>
              </mc:AlternateContent>
            </w:r>
            <w:r>
              <w:rPr>
                <w:rFonts w:ascii="Times New Roman" w:hAnsi="Times New Roman"/>
                <w:b/>
                <w:color w:val="auto"/>
                <w:szCs w:val="20"/>
              </w:rPr>
              <mc:AlternateContent>
                <mc:Choice Requires="wps">
                  <w:drawing>
                    <wp:anchor distT="0" distB="0" distL="114300" distR="114300" simplePos="0" relativeHeight="251665408" behindDoc="0" locked="0" layoutInCell="1" allowOverlap="1">
                      <wp:simplePos x="0" y="0"/>
                      <wp:positionH relativeFrom="column">
                        <wp:posOffset>1074420</wp:posOffset>
                      </wp:positionH>
                      <wp:positionV relativeFrom="paragraph">
                        <wp:posOffset>1915795</wp:posOffset>
                      </wp:positionV>
                      <wp:extent cx="1825625" cy="381000"/>
                      <wp:effectExtent l="4445" t="5080" r="17780" b="13970"/>
                      <wp:wrapNone/>
                      <wp:docPr id="8" name="Text Box 169"/>
                      <wp:cNvGraphicFramePr/>
                      <a:graphic xmlns:a="http://schemas.openxmlformats.org/drawingml/2006/main">
                        <a:graphicData uri="http://schemas.microsoft.com/office/word/2010/wordprocessingShape">
                          <wps:wsp>
                            <wps:cNvSpPr txBox="1"/>
                            <wps:spPr>
                              <a:xfrm>
                                <a:off x="0" y="0"/>
                                <a:ext cx="1825625"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pPr>
                                  <w:r>
                                    <w:rPr>
                                      <w:rFonts w:hint="eastAsia"/>
                                      <w:b/>
                                      <w:bCs/>
                                    </w:rPr>
                                    <w:t>工频电场、工频磁场、噪声</w:t>
                                  </w:r>
                                </w:p>
                              </w:txbxContent>
                            </wps:txbx>
                            <wps:bodyPr wrap="square" upright="1"/>
                          </wps:wsp>
                        </a:graphicData>
                      </a:graphic>
                    </wp:anchor>
                  </w:drawing>
                </mc:Choice>
                <mc:Fallback>
                  <w:pict>
                    <v:shape id="Text Box 169" o:spid="_x0000_s1026" o:spt="202" type="#_x0000_t202" style="position:absolute;left:0pt;margin-left:84.6pt;margin-top:150.85pt;height:30pt;width:143.75pt;z-index:251665408;mso-width-relative:page;mso-height-relative:page;" fillcolor="#FFFFFF" filled="t" stroked="t" coordsize="21600,21600" o:gfxdata="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Xxd42QAAAAsBAAAPAAAAAAAAAAEAIAAAACIAAABkcnMvZG93bnJldi54bWxQSwECFAAUAAAA&#10;CACHTuJAuFO57u0BAAD3AwAADgAAAAAAAAABACAAAAAoAQAAZHJzL2Uyb0RvYy54bWxQSwUGAAAA&#10;AAYABgBZAQAAhwUAAAAA&#10;">
                      <v:fill on="t" focussize="0,0"/>
                      <v:stroke color="#000000" joinstyle="miter"/>
                      <v:imagedata o:title=""/>
                      <o:lock v:ext="edit" aspectratio="f"/>
                      <v:textbox>
                        <w:txbxContent>
                          <w:p>
                            <w:pPr>
                              <w:spacing w:line="360" w:lineRule="auto"/>
                            </w:pPr>
                            <w:r>
                              <w:rPr>
                                <w:rFonts w:hint="eastAsia"/>
                                <w:b/>
                                <w:bCs/>
                              </w:rPr>
                              <w:t>工频电场、工频磁场、噪声</w:t>
                            </w:r>
                          </w:p>
                        </w:txbxContent>
                      </v:textbox>
                    </v:shape>
                  </w:pict>
                </mc:Fallback>
              </mc:AlternateContent>
            </w:r>
            <w:r>
              <w:rPr>
                <w:rFonts w:ascii="Times New Roman" w:hAnsi="Times New Roman"/>
                <w:b/>
                <w:color w:val="auto"/>
                <w:szCs w:val="20"/>
              </w:rPr>
              <mc:AlternateContent>
                <mc:Choice Requires="wps">
                  <w:drawing>
                    <wp:anchor distT="0" distB="0" distL="114300" distR="114300" simplePos="0" relativeHeight="251661312" behindDoc="0" locked="0" layoutInCell="1" allowOverlap="1">
                      <wp:simplePos x="0" y="0"/>
                      <wp:positionH relativeFrom="column">
                        <wp:posOffset>277495</wp:posOffset>
                      </wp:positionH>
                      <wp:positionV relativeFrom="paragraph">
                        <wp:posOffset>1907540</wp:posOffset>
                      </wp:positionV>
                      <wp:extent cx="342900" cy="735965"/>
                      <wp:effectExtent l="4445" t="4445" r="14605" b="21590"/>
                      <wp:wrapNone/>
                      <wp:docPr id="4" name="Text Box 158"/>
                      <wp:cNvGraphicFramePr/>
                      <a:graphic xmlns:a="http://schemas.openxmlformats.org/drawingml/2006/main">
                        <a:graphicData uri="http://schemas.microsoft.com/office/word/2010/wordprocessingShape">
                          <wps:wsp>
                            <wps:cNvSpPr txBox="1"/>
                            <wps:spPr>
                              <a:xfrm>
                                <a:off x="0" y="0"/>
                                <a:ext cx="342900" cy="7359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rPr>
                                  </w:pPr>
                                  <w:r>
                                    <w:rPr>
                                      <w:rFonts w:hint="eastAsia"/>
                                      <w:b/>
                                    </w:rPr>
                                    <w:t>运行期</w:t>
                                  </w:r>
                                </w:p>
                              </w:txbxContent>
                            </wps:txbx>
                            <wps:bodyPr wrap="square" upright="1"/>
                          </wps:wsp>
                        </a:graphicData>
                      </a:graphic>
                    </wp:anchor>
                  </w:drawing>
                </mc:Choice>
                <mc:Fallback>
                  <w:pict>
                    <v:shape id="Text Box 158" o:spid="_x0000_s1026" o:spt="202" type="#_x0000_t202" style="position:absolute;left:0pt;margin-left:21.85pt;margin-top:150.2pt;height:57.95pt;width:27pt;z-index:251661312;mso-width-relative:page;mso-height-relative:page;" fillcolor="#FFFFFF" filled="t" stroked="t" coordsize="21600,21600" o:gfxdata="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TxoDtgAAAAJAQAADwAAAAAAAAABACAAAAAiAAAAZHJzL2Rvd25yZXYueG1sUEsBAhQAFAAAAAgA&#10;h07iQFSUUxXsAQAA9gMAAA4AAAAAAAAAAQAgAAAAJwEAAGRycy9lMm9Eb2MueG1sUEsFBgAAAAAG&#10;AAYAWQEAAIUFAAAAAA==&#10;">
                      <v:fill on="t" focussize="0,0"/>
                      <v:stroke color="#000000" joinstyle="miter"/>
                      <v:imagedata o:title=""/>
                      <o:lock v:ext="edit" aspectratio="f"/>
                      <v:textbox>
                        <w:txbxContent>
                          <w:p>
                            <w:pPr>
                              <w:rPr>
                                <w:b/>
                              </w:rPr>
                            </w:pPr>
                            <w:r>
                              <w:rPr>
                                <w:rFonts w:hint="eastAsia"/>
                                <w:b/>
                              </w:rPr>
                              <w:t>运行期</w:t>
                            </w:r>
                          </w:p>
                        </w:txbxContent>
                      </v:textbox>
                    </v:shape>
                  </w:pict>
                </mc:Fallback>
              </mc:AlternateContent>
            </w:r>
            <w:r>
              <w:rPr>
                <w:rFonts w:ascii="Times New Roman" w:hAnsi="Times New Roman"/>
                <w:b/>
                <w:color w:val="auto"/>
                <w:szCs w:val="20"/>
              </w:rPr>
              <mc:AlternateContent>
                <mc:Choice Requires="wps">
                  <w:drawing>
                    <wp:anchor distT="0" distB="0" distL="114300" distR="114300" simplePos="0" relativeHeight="251660288" behindDoc="0" locked="0" layoutInCell="1" allowOverlap="1">
                      <wp:simplePos x="0" y="0"/>
                      <wp:positionH relativeFrom="column">
                        <wp:posOffset>274320</wp:posOffset>
                      </wp:positionH>
                      <wp:positionV relativeFrom="paragraph">
                        <wp:posOffset>33655</wp:posOffset>
                      </wp:positionV>
                      <wp:extent cx="342900" cy="693420"/>
                      <wp:effectExtent l="4445" t="4445" r="14605" b="6985"/>
                      <wp:wrapNone/>
                      <wp:docPr id="3" name="Text Box 156"/>
                      <wp:cNvGraphicFramePr/>
                      <a:graphic xmlns:a="http://schemas.openxmlformats.org/drawingml/2006/main">
                        <a:graphicData uri="http://schemas.microsoft.com/office/word/2010/wordprocessingShape">
                          <wps:wsp>
                            <wps:cNvSpPr txBox="1"/>
                            <wps:spPr>
                              <a:xfrm>
                                <a:off x="0" y="0"/>
                                <a:ext cx="3429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rPr>
                                  </w:pPr>
                                  <w:r>
                                    <w:rPr>
                                      <w:rFonts w:hint="eastAsia"/>
                                      <w:b/>
                                    </w:rPr>
                                    <w:t>施工期</w:t>
                                  </w:r>
                                </w:p>
                              </w:txbxContent>
                            </wps:txbx>
                            <wps:bodyPr wrap="square" upright="1"/>
                          </wps:wsp>
                        </a:graphicData>
                      </a:graphic>
                    </wp:anchor>
                  </w:drawing>
                </mc:Choice>
                <mc:Fallback>
                  <w:pict>
                    <v:shape id="Text Box 156" o:spid="_x0000_s1026" o:spt="202" type="#_x0000_t202" style="position:absolute;left:0pt;margin-left:21.6pt;margin-top:2.65pt;height:54.6pt;width:27pt;z-index:251660288;mso-width-relative:page;mso-height-relative:page;" fillcolor="#FFFFFF" filled="t" stroked="t" coordsize="21600,21600" o:gfxdata="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iD&#10;k7nWAAAABwEAAA8AAAAAAAAAAQAgAAAAIgAAAGRycy9kb3ducmV2LnhtbFBLAQIUABQAAAAIAIdO&#10;4kB+23cd7AEAAPYDAAAOAAAAAAAAAAEAIAAAACUBAABkcnMvZTJvRG9jLnhtbFBLBQYAAAAABgAG&#10;AFkBAACDBQAAAAA=&#10;">
                      <v:fill on="t" focussize="0,0"/>
                      <v:stroke color="#000000" joinstyle="miter"/>
                      <v:imagedata o:title=""/>
                      <o:lock v:ext="edit" aspectratio="f"/>
                      <v:textbox>
                        <w:txbxContent>
                          <w:p>
                            <w:pPr>
                              <w:rPr>
                                <w:b/>
                              </w:rPr>
                            </w:pPr>
                            <w:r>
                              <w:rPr>
                                <w:rFonts w:hint="eastAsia"/>
                                <w:b/>
                              </w:rPr>
                              <w:t>施工期</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8" w:hRule="atLeast"/>
        </w:trPr>
        <w:tc>
          <w:tcPr>
            <w:tcW w:w="8647" w:type="dxa"/>
            <w:tcBorders>
              <w:top w:val="single" w:color="auto" w:sz="6" w:space="0"/>
              <w:bottom w:val="single" w:color="auto" w:sz="6" w:space="0"/>
            </w:tcBorders>
            <w:vAlign w:val="top"/>
          </w:tcPr>
          <w:p>
            <w:pPr>
              <w:spacing w:before="156" w:beforeLines="50"/>
              <w:outlineLvl w:val="1"/>
              <w:rPr>
                <w:rFonts w:ascii="Times New Roman" w:hAnsi="Times New Roman"/>
                <w:b/>
                <w:color w:val="auto"/>
              </w:rPr>
            </w:pPr>
            <w:r>
              <w:rPr>
                <w:rFonts w:ascii="Times New Roman" w:hAnsi="Times New Roman"/>
                <w:b/>
                <w:color w:val="auto"/>
              </w:rPr>
              <mc:AlternateContent>
                <mc:Choice Requires="wps">
                  <w:drawing>
                    <wp:anchor distT="0" distB="0" distL="114300" distR="114300" simplePos="0" relativeHeight="251680768" behindDoc="0" locked="0" layoutInCell="0" allowOverlap="1">
                      <wp:simplePos x="0" y="0"/>
                      <wp:positionH relativeFrom="column">
                        <wp:posOffset>2533650</wp:posOffset>
                      </wp:positionH>
                      <wp:positionV relativeFrom="paragraph">
                        <wp:posOffset>2098040</wp:posOffset>
                      </wp:positionV>
                      <wp:extent cx="635" cy="0"/>
                      <wp:effectExtent l="0" t="0" r="0" b="0"/>
                      <wp:wrapNone/>
                      <wp:docPr id="23" name="直接连接符 2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26" o:spid="_x0000_s1026" o:spt="20" style="position:absolute;left:0pt;margin-left:199.5pt;margin-top:165.2pt;height:0pt;width:0.05pt;z-index:251680768;mso-width-relative:page;mso-height-relative:page;" filled="f" stroked="t" coordsize="21600,21600" o:allowincell="f" o:gfxdata="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2wucdYAAAALAQAADwAAAAAAAAAB&#10;ACAAAAAiAAAAZHJzL2Rvd25yZXYueG1sUEsBAhQAFAAAAAgAh07iQLxu/h7ZAQAAlAMAAA4AAAAA&#10;AAAAAQAgAAAAJQEAAGRycy9lMm9Eb2MueG1sUEsFBgAAAAAGAAYAWQEAAHAFAAAAAA==&#10;">
                      <v:fill on="f" focussize="0,0"/>
                      <v:stroke color="#000000" joinstyle="round"/>
                      <v:imagedata o:title=""/>
                      <o:lock v:ext="edit" aspectratio="f"/>
                    </v:line>
                  </w:pict>
                </mc:Fallback>
              </mc:AlternateContent>
            </w:r>
            <w:bookmarkStart w:id="24" w:name="_Toc483491486"/>
            <w:r>
              <w:rPr>
                <w:rFonts w:ascii="Times New Roman" w:hAnsi="Times New Roman"/>
                <w:b/>
                <w:color w:val="auto"/>
              </w:rPr>
              <w:t>5.</w:t>
            </w:r>
            <w:r>
              <w:rPr>
                <w:rFonts w:hint="eastAsia" w:ascii="Times New Roman" w:hAnsi="Times New Roman"/>
                <w:b/>
                <w:color w:val="auto"/>
              </w:rPr>
              <w:t>2</w:t>
            </w:r>
            <w:r>
              <w:rPr>
                <w:rFonts w:ascii="Times New Roman" w:hAnsi="Times New Roman"/>
                <w:b/>
                <w:color w:val="auto"/>
              </w:rPr>
              <w:t>施工组织</w:t>
            </w:r>
            <w:bookmarkEnd w:id="24"/>
            <w:r>
              <w:rPr>
                <w:rFonts w:hint="eastAsia" w:ascii="Times New Roman" w:hAnsi="Times New Roman"/>
                <w:b/>
                <w:color w:val="auto"/>
              </w:rPr>
              <w:t>及施工工艺</w:t>
            </w:r>
          </w:p>
          <w:p>
            <w:pPr>
              <w:spacing w:line="360" w:lineRule="auto"/>
              <w:ind w:firstLine="420" w:firstLineChars="200"/>
              <w:rPr>
                <w:bCs/>
                <w:color w:val="auto"/>
              </w:rPr>
            </w:pPr>
            <w:r>
              <w:rPr>
                <w:rFonts w:hint="eastAsia"/>
                <w:bCs/>
                <w:color w:val="auto"/>
              </w:rPr>
              <w:t>①施工组织</w:t>
            </w:r>
          </w:p>
          <w:p>
            <w:pPr>
              <w:pStyle w:val="23"/>
              <w:ind w:firstLine="420" w:firstLineChars="200"/>
              <w:rPr>
                <w:rFonts w:hint="eastAsia" w:ascii="Times New Roman" w:hAnsi="Times New Roman"/>
                <w:snapToGrid w:val="0"/>
                <w:color w:val="auto"/>
                <w:sz w:val="21"/>
                <w:szCs w:val="21"/>
              </w:rPr>
            </w:pPr>
            <w:r>
              <w:rPr>
                <w:rFonts w:hint="eastAsia"/>
                <w:bCs/>
                <w:color w:val="auto"/>
                <w:sz w:val="21"/>
                <w:szCs w:val="21"/>
              </w:rPr>
              <w:t>本工程输电线路的架设，施工区包括塔基施工区、牵张场地等，其中塔基</w:t>
            </w:r>
            <w:r>
              <w:rPr>
                <w:bCs/>
                <w:color w:val="auto"/>
                <w:sz w:val="21"/>
                <w:szCs w:val="21"/>
              </w:rPr>
              <w:t>基础施工临时场地以单个塔基为单位零星布置，</w:t>
            </w:r>
            <w:r>
              <w:rPr>
                <w:rFonts w:hint="eastAsia"/>
                <w:bCs/>
                <w:color w:val="auto"/>
                <w:sz w:val="21"/>
                <w:szCs w:val="21"/>
              </w:rPr>
              <w:t>材料</w:t>
            </w:r>
            <w:r>
              <w:rPr>
                <w:bCs/>
                <w:color w:val="auto"/>
                <w:sz w:val="21"/>
                <w:szCs w:val="21"/>
              </w:rPr>
              <w:t>临时堆放场地和</w:t>
            </w:r>
            <w:r>
              <w:rPr>
                <w:rFonts w:hint="eastAsia"/>
                <w:bCs/>
                <w:color w:val="auto"/>
                <w:sz w:val="21"/>
                <w:szCs w:val="21"/>
              </w:rPr>
              <w:t>组装均在该区域内进行</w:t>
            </w:r>
            <w:r>
              <w:rPr>
                <w:bCs/>
                <w:color w:val="auto"/>
                <w:sz w:val="21"/>
                <w:szCs w:val="21"/>
              </w:rPr>
              <w:t>。一般牵张场可利用当地道路，当塔位离道路较远或不能满足要求时需设置牵张场</w:t>
            </w:r>
            <w:r>
              <w:rPr>
                <w:rFonts w:hint="eastAsia"/>
                <w:bCs/>
                <w:color w:val="auto"/>
                <w:sz w:val="21"/>
                <w:szCs w:val="21"/>
              </w:rPr>
              <w:t>，</w:t>
            </w:r>
            <w:r>
              <w:rPr>
                <w:rFonts w:hint="eastAsia" w:ascii="Times New Roman" w:hAnsi="Times New Roman"/>
                <w:snapToGrid w:val="0"/>
                <w:color w:val="auto"/>
                <w:sz w:val="21"/>
                <w:szCs w:val="21"/>
              </w:rPr>
              <w:t>本工程线路需</w:t>
            </w:r>
            <w:r>
              <w:rPr>
                <w:rFonts w:hint="eastAsia" w:ascii="Times New Roman" w:hAnsi="Times New Roman"/>
                <w:snapToGrid w:val="0"/>
                <w:color w:val="auto"/>
                <w:sz w:val="21"/>
                <w:szCs w:val="21"/>
                <w:lang w:val="en-US" w:eastAsia="zh-CN"/>
              </w:rPr>
              <w:t>1</w:t>
            </w:r>
            <w:r>
              <w:rPr>
                <w:rFonts w:hint="eastAsia" w:ascii="Times New Roman"/>
                <w:snapToGrid w:val="0"/>
                <w:color w:val="auto"/>
                <w:sz w:val="21"/>
                <w:szCs w:val="21"/>
                <w:lang w:val="en-US" w:eastAsia="zh-CN"/>
              </w:rPr>
              <w:t>0</w:t>
            </w:r>
            <w:r>
              <w:rPr>
                <w:rFonts w:hint="eastAsia" w:ascii="Times New Roman" w:hAnsi="Times New Roman"/>
                <w:snapToGrid w:val="0"/>
                <w:color w:val="auto"/>
                <w:sz w:val="21"/>
                <w:szCs w:val="21"/>
              </w:rPr>
              <w:t>处牵张场，临时占地约</w:t>
            </w:r>
            <w:r>
              <w:rPr>
                <w:rFonts w:hint="eastAsia" w:ascii="Times New Roman" w:hAnsi="Times New Roman"/>
                <w:snapToGrid w:val="0"/>
                <w:color w:val="auto"/>
                <w:sz w:val="21"/>
                <w:szCs w:val="21"/>
                <w:lang w:val="en-US" w:eastAsia="zh-CN"/>
              </w:rPr>
              <w:t>2</w:t>
            </w:r>
            <w:r>
              <w:rPr>
                <w:rFonts w:hint="eastAsia" w:ascii="Times New Roman"/>
                <w:snapToGrid w:val="0"/>
                <w:color w:val="auto"/>
                <w:sz w:val="21"/>
                <w:szCs w:val="21"/>
                <w:lang w:val="en-US" w:eastAsia="zh-CN"/>
              </w:rPr>
              <w:t>0</w:t>
            </w:r>
            <w:r>
              <w:rPr>
                <w:rFonts w:hint="eastAsia" w:ascii="Times New Roman" w:hAnsi="Times New Roman"/>
                <w:snapToGrid w:val="0"/>
                <w:color w:val="auto"/>
                <w:sz w:val="21"/>
                <w:szCs w:val="21"/>
              </w:rPr>
              <w:t>00m</w:t>
            </w:r>
            <w:r>
              <w:rPr>
                <w:rFonts w:hint="eastAsia" w:ascii="Times New Roman" w:hAnsi="Times New Roman"/>
                <w:snapToGrid w:val="0"/>
                <w:color w:val="auto"/>
                <w:sz w:val="21"/>
                <w:szCs w:val="21"/>
                <w:vertAlign w:val="superscript"/>
              </w:rPr>
              <w:t>2</w:t>
            </w:r>
            <w:r>
              <w:rPr>
                <w:rFonts w:hint="eastAsia" w:ascii="Times New Roman" w:hAnsi="Times New Roman"/>
                <w:snapToGrid w:val="0"/>
                <w:color w:val="auto"/>
                <w:sz w:val="21"/>
                <w:szCs w:val="21"/>
              </w:rPr>
              <w:t>。</w:t>
            </w:r>
          </w:p>
          <w:p>
            <w:pPr>
              <w:spacing w:line="360" w:lineRule="auto"/>
              <w:ind w:firstLine="480"/>
              <w:rPr>
                <w:bCs/>
                <w:color w:val="auto"/>
              </w:rPr>
            </w:pPr>
            <w:r>
              <w:rPr>
                <w:rFonts w:ascii="Times New Roman"/>
                <w:color w:val="auto"/>
                <w:sz w:val="21"/>
                <w:szCs w:val="21"/>
              </w:rPr>
              <w:t>本工程</w:t>
            </w:r>
            <w:r>
              <w:rPr>
                <w:rFonts w:hint="eastAsia" w:ascii="Times New Roman"/>
                <w:color w:val="auto"/>
                <w:sz w:val="21"/>
                <w:szCs w:val="21"/>
              </w:rPr>
              <w:t>220kV输电</w:t>
            </w:r>
            <w:r>
              <w:rPr>
                <w:rFonts w:ascii="Times New Roman"/>
                <w:color w:val="auto"/>
                <w:sz w:val="21"/>
                <w:szCs w:val="21"/>
              </w:rPr>
              <w:t>线路</w:t>
            </w:r>
            <w:r>
              <w:rPr>
                <w:rFonts w:hint="eastAsia" w:ascii="Times New Roman"/>
                <w:color w:val="auto"/>
                <w:sz w:val="21"/>
                <w:szCs w:val="21"/>
                <w:lang w:eastAsia="zh-CN"/>
              </w:rPr>
              <w:t>长约</w:t>
            </w:r>
            <w:r>
              <w:rPr>
                <w:rFonts w:hint="eastAsia" w:ascii="Times New Roman"/>
                <w:color w:val="auto"/>
                <w:sz w:val="21"/>
                <w:szCs w:val="21"/>
                <w:lang w:val="en-US" w:eastAsia="zh-CN"/>
              </w:rPr>
              <w:t>2×55</w:t>
            </w:r>
            <w:r>
              <w:rPr>
                <w:rFonts w:hint="eastAsia" w:ascii="Times New Roman"/>
                <w:color w:val="auto"/>
                <w:sz w:val="21"/>
                <w:szCs w:val="21"/>
              </w:rPr>
              <w:t>km</w:t>
            </w:r>
            <w:r>
              <w:rPr>
                <w:rFonts w:hint="eastAsia" w:ascii="Times New Roman" w:hAnsi="Times New Roman" w:cs="Times New Roman"/>
                <w:color w:val="auto"/>
                <w:sz w:val="21"/>
                <w:szCs w:val="21"/>
                <w:lang w:eastAsia="zh-CN"/>
              </w:rPr>
              <w:t>，穿越</w:t>
            </w:r>
            <w:r>
              <w:rPr>
                <w:rFonts w:hint="eastAsia" w:ascii="Times New Roman" w:hAnsi="Times New Roman" w:cs="Times New Roman"/>
                <w:color w:val="auto"/>
                <w:sz w:val="21"/>
                <w:szCs w:val="21"/>
                <w:lang w:val="en-US" w:eastAsia="zh-CN"/>
              </w:rPr>
              <w:t>4</w:t>
            </w:r>
            <w:r>
              <w:rPr>
                <w:rFonts w:hint="eastAsia" w:ascii="Times New Roman" w:hAnsi="Times New Roman" w:cs="Times New Roman"/>
                <w:color w:val="auto"/>
                <w:sz w:val="21"/>
                <w:szCs w:val="21"/>
                <w:lang w:eastAsia="zh-CN"/>
              </w:rPr>
              <w:t>处海南省省级生态保护红线区（共计</w:t>
            </w:r>
            <w:r>
              <w:rPr>
                <w:rFonts w:hint="eastAsia" w:ascii="Times New Roman" w:hAnsi="Times New Roman" w:cs="Times New Roman"/>
                <w:color w:val="auto"/>
                <w:sz w:val="21"/>
                <w:szCs w:val="21"/>
                <w:lang w:val="en-US" w:eastAsia="zh-CN"/>
              </w:rPr>
              <w:t>6.76km</w:t>
            </w:r>
            <w:r>
              <w:rPr>
                <w:rFonts w:hint="eastAsia" w:ascii="Times New Roman" w:hAnsi="Times New Roman" w:cs="Times New Roman"/>
                <w:color w:val="auto"/>
                <w:sz w:val="21"/>
                <w:szCs w:val="21"/>
                <w:lang w:eastAsia="zh-CN"/>
              </w:rPr>
              <w:t>）、南渡江龙塘饮用水水源保护区二级水域及陆域和准保护区水域及陆域（共计</w:t>
            </w:r>
            <w:r>
              <w:rPr>
                <w:rFonts w:hint="eastAsia" w:ascii="Times New Roman" w:hAnsi="Times New Roman" w:cs="Times New Roman"/>
                <w:color w:val="auto"/>
                <w:sz w:val="21"/>
                <w:szCs w:val="21"/>
                <w:lang w:val="en-US" w:eastAsia="zh-CN"/>
              </w:rPr>
              <w:t>3.8km</w:t>
            </w:r>
            <w:r>
              <w:rPr>
                <w:rFonts w:hint="eastAsia" w:ascii="Times New Roman" w:hAnsi="Times New Roman" w:cs="Times New Roman"/>
                <w:color w:val="auto"/>
                <w:sz w:val="21"/>
                <w:szCs w:val="21"/>
                <w:lang w:eastAsia="zh-CN"/>
              </w:rPr>
              <w:t>）及依附南渡江支流形成的新旧沟湿地乡村公园（</w:t>
            </w:r>
            <w:r>
              <w:rPr>
                <w:rFonts w:hint="eastAsia" w:ascii="Times New Roman" w:hAnsi="Times New Roman" w:cs="Times New Roman"/>
                <w:color w:val="auto"/>
                <w:sz w:val="21"/>
                <w:szCs w:val="21"/>
                <w:lang w:val="en-US" w:eastAsia="zh-CN"/>
              </w:rPr>
              <w:t>3.6km</w:t>
            </w:r>
            <w:r>
              <w:rPr>
                <w:rFonts w:hint="eastAsia" w:ascii="Times New Roman" w:hAnsi="Times New Roman" w:cs="Times New Roman"/>
                <w:color w:val="auto"/>
                <w:sz w:val="21"/>
                <w:szCs w:val="21"/>
                <w:lang w:eastAsia="zh-CN"/>
              </w:rPr>
              <w:t>）和羊山湿地多用途管理区（</w:t>
            </w:r>
            <w:r>
              <w:rPr>
                <w:rFonts w:hint="eastAsia" w:ascii="Times New Roman" w:hAnsi="Times New Roman" w:cs="Times New Roman"/>
                <w:color w:val="auto"/>
                <w:sz w:val="21"/>
                <w:szCs w:val="21"/>
                <w:lang w:val="en-US" w:eastAsia="zh-CN"/>
              </w:rPr>
              <w:t>14km</w:t>
            </w:r>
            <w:r>
              <w:rPr>
                <w:rFonts w:hint="eastAsia" w:ascii="Times New Roman" w:hAnsi="Times New Roman" w:cs="Times New Roman"/>
                <w:color w:val="auto"/>
                <w:sz w:val="21"/>
                <w:szCs w:val="21"/>
                <w:lang w:eastAsia="zh-CN"/>
              </w:rPr>
              <w:t>），一档跨越新旧沟湿地保护小区（累计跨越长度</w:t>
            </w:r>
            <w:r>
              <w:rPr>
                <w:rFonts w:hint="eastAsia" w:ascii="Times New Roman" w:hAnsi="Times New Roman" w:cs="Times New Roman"/>
                <w:color w:val="auto"/>
                <w:sz w:val="21"/>
                <w:szCs w:val="21"/>
                <w:lang w:val="en-US" w:eastAsia="zh-CN"/>
              </w:rPr>
              <w:t>0.17km</w:t>
            </w:r>
            <w:r>
              <w:rPr>
                <w:rFonts w:hint="eastAsia" w:ascii="Times New Roman" w:hAnsi="Times New Roman" w:cs="Times New Roman"/>
                <w:color w:val="auto"/>
                <w:sz w:val="21"/>
                <w:szCs w:val="21"/>
                <w:lang w:eastAsia="zh-CN"/>
              </w:rPr>
              <w:t>）和海口三十六曲溪省级湿地公园（累计跨越长度</w:t>
            </w:r>
            <w:r>
              <w:rPr>
                <w:rFonts w:hint="eastAsia" w:ascii="Times New Roman" w:hAnsi="Times New Roman" w:cs="Times New Roman"/>
                <w:color w:val="auto"/>
                <w:sz w:val="21"/>
                <w:szCs w:val="21"/>
                <w:lang w:val="en-US" w:eastAsia="zh-CN"/>
              </w:rPr>
              <w:t>0.8km</w:t>
            </w:r>
            <w:r>
              <w:rPr>
                <w:rFonts w:hint="eastAsia" w:ascii="Times New Roman" w:hAnsi="Times New Roman" w:cs="Times New Roman"/>
                <w:color w:val="auto"/>
                <w:sz w:val="21"/>
                <w:szCs w:val="21"/>
                <w:lang w:eastAsia="zh-CN"/>
              </w:rPr>
              <w:t>），且部分海南省省级生态保护红线区与水源保护区、湿地公园范围重合，共计拟立塔</w:t>
            </w:r>
            <w:r>
              <w:rPr>
                <w:rFonts w:hint="eastAsia" w:ascii="Times New Roman" w:hAnsi="Times New Roman" w:cs="Times New Roman"/>
                <w:color w:val="auto"/>
                <w:sz w:val="21"/>
                <w:szCs w:val="21"/>
                <w:lang w:val="en-US" w:eastAsia="zh-CN"/>
              </w:rPr>
              <w:t>49基</w:t>
            </w:r>
            <w:r>
              <w:rPr>
                <w:rFonts w:hint="eastAsia" w:ascii="Times New Roman" w:hAnsi="Times New Roman" w:cs="Times New Roman"/>
                <w:color w:val="auto"/>
                <w:sz w:val="21"/>
                <w:szCs w:val="21"/>
                <w:lang w:eastAsia="zh-CN"/>
              </w:rPr>
              <w:t>。</w:t>
            </w:r>
            <w:r>
              <w:rPr>
                <w:rFonts w:hint="eastAsia" w:ascii="Times New Roman"/>
                <w:color w:val="auto"/>
                <w:sz w:val="21"/>
                <w:szCs w:val="21"/>
              </w:rPr>
              <w:t>因此施工材料尽可能利用</w:t>
            </w:r>
            <w:r>
              <w:rPr>
                <w:rFonts w:ascii="Times New Roman"/>
                <w:color w:val="auto"/>
                <w:sz w:val="21"/>
                <w:szCs w:val="21"/>
              </w:rPr>
              <w:t>沿线</w:t>
            </w:r>
            <w:r>
              <w:rPr>
                <w:rFonts w:hint="eastAsia" w:ascii="Times New Roman"/>
                <w:color w:val="auto"/>
                <w:sz w:val="21"/>
                <w:szCs w:val="21"/>
              </w:rPr>
              <w:t>已有道路进行运输</w:t>
            </w:r>
            <w:r>
              <w:rPr>
                <w:rFonts w:ascii="Times New Roman"/>
                <w:color w:val="auto"/>
                <w:sz w:val="21"/>
                <w:szCs w:val="21"/>
              </w:rPr>
              <w:t>。</w:t>
            </w:r>
            <w:r>
              <w:rPr>
                <w:rFonts w:hint="eastAsia" w:ascii="Times New Roman"/>
                <w:color w:val="auto"/>
                <w:sz w:val="21"/>
                <w:szCs w:val="21"/>
                <w:lang w:eastAsia="zh-CN"/>
              </w:rPr>
              <w:t>在这些区域内施工时</w:t>
            </w:r>
            <w:r>
              <w:rPr>
                <w:rFonts w:hint="eastAsia"/>
                <w:color w:val="auto"/>
              </w:rPr>
              <w:t>除了设置必要的塔基施工场地、牵张场地外，禁止设置弃土弃渣场</w:t>
            </w:r>
            <w:r>
              <w:rPr>
                <w:rFonts w:hint="eastAsia"/>
                <w:color w:val="auto"/>
                <w:lang w:eastAsia="zh-CN"/>
              </w:rPr>
              <w:t>、</w:t>
            </w:r>
            <w:r>
              <w:rPr>
                <w:rFonts w:hint="eastAsia"/>
                <w:bCs/>
                <w:color w:val="auto"/>
              </w:rPr>
              <w:t>材料场、堆料场</w:t>
            </w:r>
            <w:r>
              <w:rPr>
                <w:rFonts w:hint="eastAsia"/>
                <w:color w:val="auto"/>
              </w:rPr>
              <w:t>和施工生活区</w:t>
            </w:r>
            <w:r>
              <w:rPr>
                <w:rFonts w:hint="eastAsia"/>
                <w:bCs/>
                <w:color w:val="auto"/>
              </w:rPr>
              <w:t>等临时</w:t>
            </w:r>
            <w:r>
              <w:rPr>
                <w:rFonts w:hint="eastAsia"/>
                <w:bCs/>
                <w:color w:val="auto"/>
                <w:lang w:eastAsia="zh-CN"/>
              </w:rPr>
              <w:t>用地</w:t>
            </w:r>
            <w:r>
              <w:rPr>
                <w:rFonts w:hint="eastAsia"/>
                <w:bCs/>
                <w:color w:val="auto"/>
              </w:rPr>
              <w:t>。</w:t>
            </w:r>
          </w:p>
          <w:p>
            <w:pPr>
              <w:spacing w:line="360" w:lineRule="auto"/>
              <w:ind w:firstLine="420" w:firstLineChars="200"/>
              <w:rPr>
                <w:rFonts w:hint="eastAsia"/>
                <w:bCs/>
                <w:color w:val="auto"/>
              </w:rPr>
            </w:pPr>
            <w:r>
              <w:rPr>
                <w:rFonts w:hint="eastAsia"/>
                <w:bCs/>
                <w:color w:val="auto"/>
              </w:rPr>
              <w:t>②施工工艺</w:t>
            </w:r>
          </w:p>
          <w:p>
            <w:pPr>
              <w:spacing w:line="360" w:lineRule="auto"/>
              <w:ind w:firstLine="420" w:firstLineChars="200"/>
              <w:rPr>
                <w:bCs/>
                <w:color w:val="auto"/>
              </w:rPr>
            </w:pPr>
            <w:r>
              <w:rPr>
                <w:rFonts w:hint="eastAsia"/>
                <w:bCs/>
                <w:color w:val="auto"/>
              </w:rPr>
              <w:t>线路工程施工分为：施工准备，基础施工，铁塔组立及架线。</w:t>
            </w:r>
          </w:p>
          <w:p>
            <w:pPr>
              <w:spacing w:line="360" w:lineRule="auto"/>
              <w:ind w:firstLine="420" w:firstLineChars="200"/>
              <w:rPr>
                <w:rFonts w:ascii="Times New Roman" w:hAnsi="Times New Roman"/>
                <w:color w:val="auto"/>
              </w:rPr>
            </w:pPr>
            <w:r>
              <w:rPr>
                <w:bCs/>
                <w:color w:val="auto"/>
              </w:rPr>
              <w:t>施工准备阶段主要是施工备料及施工道路的建设</w:t>
            </w:r>
            <w:r>
              <w:rPr>
                <w:rFonts w:hint="eastAsia"/>
                <w:bCs/>
                <w:color w:val="auto"/>
              </w:rPr>
              <w:t>，材料采用汽车运输，车辆不能到达区域采用人工抬运。基坑</w:t>
            </w:r>
            <w:r>
              <w:rPr>
                <w:bCs/>
                <w:color w:val="auto"/>
              </w:rPr>
              <w:t>在确保安全和质量的前提下，尽量减小基础开挖的范围，避免不必要的开挖和过多的原状土破坏，以利水土保持和塔基边坡的稳定</w:t>
            </w:r>
            <w:r>
              <w:rPr>
                <w:rFonts w:hint="eastAsia"/>
                <w:bCs/>
                <w:color w:val="auto"/>
              </w:rPr>
              <w:t>。牵张场建设以满足牵引机、张力机放置要求为原则，尽量减少土石方挖填量和地表扰动面积，对临时堆土将做好挡护及苫盖。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16" w:hRule="atLeast"/>
        </w:trPr>
        <w:tc>
          <w:tcPr>
            <w:tcW w:w="8647" w:type="dxa"/>
            <w:tcBorders>
              <w:top w:val="single" w:color="auto" w:sz="6" w:space="0"/>
              <w:bottom w:val="single" w:color="auto" w:sz="6" w:space="0"/>
            </w:tcBorders>
            <w:vAlign w:val="top"/>
          </w:tcPr>
          <w:p>
            <w:pPr>
              <w:spacing w:before="156" w:beforeLines="50" w:line="240" w:lineRule="atLeast"/>
              <w:outlineLvl w:val="1"/>
              <w:rPr>
                <w:rFonts w:ascii="Times New Roman" w:hAnsi="Times New Roman"/>
                <w:b/>
                <w:color w:val="auto"/>
                <w:sz w:val="24"/>
                <w:szCs w:val="24"/>
              </w:rPr>
            </w:pPr>
            <w:r>
              <w:rPr>
                <w:rFonts w:hint="eastAsia" w:ascii="Times New Roman" w:hAnsi="Times New Roman"/>
                <w:b/>
                <w:color w:val="auto"/>
                <w:sz w:val="24"/>
                <w:szCs w:val="24"/>
              </w:rPr>
              <w:t xml:space="preserve">5.2 </w:t>
            </w:r>
            <w:r>
              <w:rPr>
                <w:rFonts w:ascii="Times New Roman" w:hAnsi="Times New Roman"/>
                <w:b/>
                <w:color w:val="auto"/>
                <w:sz w:val="24"/>
                <w:szCs w:val="24"/>
              </w:rPr>
              <w:t>主要污染工序</w:t>
            </w:r>
          </w:p>
          <w:p>
            <w:pPr>
              <w:spacing w:line="240" w:lineRule="atLeast"/>
              <w:rPr>
                <w:rFonts w:ascii="Times New Roman" w:hAnsi="Times New Roman"/>
                <w:b/>
                <w:color w:val="auto"/>
                <w:szCs w:val="20"/>
              </w:rPr>
            </w:pPr>
          </w:p>
          <w:p>
            <w:pPr>
              <w:spacing w:line="240" w:lineRule="atLeast"/>
              <w:rPr>
                <w:rFonts w:ascii="Times New Roman" w:hAnsi="Times New Roman"/>
                <w:b/>
                <w:color w:val="auto"/>
                <w:szCs w:val="20"/>
              </w:rPr>
            </w:pPr>
            <w:r>
              <w:rPr>
                <w:rFonts w:ascii="Times New Roman" w:hAnsi="Times New Roman"/>
                <w:b/>
                <w:color w:val="auto"/>
                <w:szCs w:val="20"/>
              </w:rPr>
              <mc:AlternateContent>
                <mc:Choice Requires="wps">
                  <w:drawing>
                    <wp:anchor distT="0" distB="0" distL="114300" distR="114300" simplePos="0" relativeHeight="251673600" behindDoc="0" locked="0" layoutInCell="1" allowOverlap="1">
                      <wp:simplePos x="0" y="0"/>
                      <wp:positionH relativeFrom="column">
                        <wp:posOffset>2343785</wp:posOffset>
                      </wp:positionH>
                      <wp:positionV relativeFrom="paragraph">
                        <wp:posOffset>62230</wp:posOffset>
                      </wp:positionV>
                      <wp:extent cx="559435" cy="313690"/>
                      <wp:effectExtent l="4445" t="4445" r="7620" b="5715"/>
                      <wp:wrapNone/>
                      <wp:docPr id="16" name="Rectangle 145"/>
                      <wp:cNvGraphicFramePr/>
                      <a:graphic xmlns:a="http://schemas.openxmlformats.org/drawingml/2006/main">
                        <a:graphicData uri="http://schemas.microsoft.com/office/word/2010/wordprocessingShape">
                          <wps:wsp>
                            <wps:cNvSpPr/>
                            <wps:spPr>
                              <a:xfrm>
                                <a:off x="0" y="0"/>
                                <a:ext cx="559435" cy="3136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b/>
                                    </w:rPr>
                                  </w:pPr>
                                  <w:r>
                                    <w:rPr>
                                      <w:rFonts w:hint="eastAsia"/>
                                      <w:b/>
                                    </w:rPr>
                                    <w:t>产 生</w:t>
                                  </w:r>
                                </w:p>
                              </w:txbxContent>
                            </wps:txbx>
                            <wps:bodyPr wrap="square" upright="1"/>
                          </wps:wsp>
                        </a:graphicData>
                      </a:graphic>
                    </wp:anchor>
                  </w:drawing>
                </mc:Choice>
                <mc:Fallback>
                  <w:pict>
                    <v:rect id="Rectangle 145" o:spid="_x0000_s1026" o:spt="1" style="position:absolute;left:0pt;margin-left:184.55pt;margin-top:4.9pt;height:24.7pt;width:44.05pt;z-index:251673600;mso-width-relative:page;mso-height-relative:page;" fillcolor="#FFFFFF" filled="t" stroked="t" coordsize="21600,21600" o:gfxdata="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NJuqfXAAAA&#10;CAEAAA8AAAAAAAAAAQAgAAAAIgAAAGRycy9kb3ducmV2LnhtbFBLAQIUABQAAAAIAIdO4kAPylyG&#10;5QEAAO4DAAAOAAAAAAAAAAEAIAAAACYBAABkcnMvZTJvRG9jLnhtbFBLBQYAAAAABgAGAFkBAAB9&#10;BQAAAAA=&#10;">
                      <v:fill on="t" focussize="0,0"/>
                      <v:stroke color="#FFFFFF" joinstyle="miter"/>
                      <v:imagedata o:title=""/>
                      <o:lock v:ext="edit" aspectratio="f"/>
                      <v:textbox>
                        <w:txbxContent>
                          <w:p>
                            <w:pPr>
                              <w:rPr>
                                <w:b/>
                              </w:rPr>
                            </w:pPr>
                            <w:r>
                              <w:rPr>
                                <w:rFonts w:hint="eastAsia"/>
                                <w:b/>
                              </w:rPr>
                              <w:t>产 生</w:t>
                            </w:r>
                          </w:p>
                        </w:txbxContent>
                      </v:textbox>
                    </v:rect>
                  </w:pict>
                </mc:Fallback>
              </mc:AlternateContent>
            </w:r>
          </w:p>
          <w:p>
            <w:pPr>
              <w:spacing w:line="240" w:lineRule="atLeast"/>
              <w:rPr>
                <w:rFonts w:ascii="Times New Roman" w:hAnsi="Times New Roman"/>
                <w:b/>
                <w:color w:val="auto"/>
                <w:szCs w:val="20"/>
              </w:rPr>
            </w:pPr>
            <w:r>
              <w:rPr>
                <w:rFonts w:ascii="Times New Roman" w:hAnsi="Times New Roman"/>
                <w:b/>
                <w:color w:val="auto"/>
                <w:szCs w:val="20"/>
              </w:rPr>
              <mc:AlternateContent>
                <mc:Choice Requires="wps">
                  <w:drawing>
                    <wp:anchor distT="0" distB="0" distL="114300" distR="114300" simplePos="0" relativeHeight="251675648" behindDoc="0" locked="0" layoutInCell="1" allowOverlap="1">
                      <wp:simplePos x="0" y="0"/>
                      <wp:positionH relativeFrom="column">
                        <wp:posOffset>3227705</wp:posOffset>
                      </wp:positionH>
                      <wp:positionV relativeFrom="paragraph">
                        <wp:posOffset>6350</wp:posOffset>
                      </wp:positionV>
                      <wp:extent cx="1945005" cy="529590"/>
                      <wp:effectExtent l="4445" t="5080" r="12700" b="17780"/>
                      <wp:wrapNone/>
                      <wp:docPr id="18" name="Rectangle 147"/>
                      <wp:cNvGraphicFramePr/>
                      <a:graphic xmlns:a="http://schemas.openxmlformats.org/drawingml/2006/main">
                        <a:graphicData uri="http://schemas.microsoft.com/office/word/2010/wordprocessingShape">
                          <wps:wsp>
                            <wps:cNvSpPr/>
                            <wps:spPr>
                              <a:xfrm>
                                <a:off x="0" y="0"/>
                                <a:ext cx="1945005" cy="529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施工噪声、扬尘、固体废弃物、施工废水</w:t>
                                  </w:r>
                                </w:p>
                              </w:txbxContent>
                            </wps:txbx>
                            <wps:bodyPr wrap="square" upright="1"/>
                          </wps:wsp>
                        </a:graphicData>
                      </a:graphic>
                    </wp:anchor>
                  </w:drawing>
                </mc:Choice>
                <mc:Fallback>
                  <w:pict>
                    <v:rect id="Rectangle 147" o:spid="_x0000_s1026" o:spt="1" style="position:absolute;left:0pt;margin-left:254.15pt;margin-top:0.5pt;height:41.7pt;width:153.15pt;z-index:251675648;mso-width-relative:page;mso-height-relative:page;" fillcolor="#FFFFFF" filled="t" stroked="t" coordsize="21600,21600" o:gfxdata="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4bVJO&#10;1gAAAAgBAAAPAAAAAAAAAAEAIAAAACIAAABkcnMvZG93bnJldi54bWxQSwECFAAUAAAACACHTuJA&#10;eVf0tuoBAADvAwAADgAAAAAAAAABACAAAAAlAQAAZHJzL2Uyb0RvYy54bWxQSwUGAAAAAAYABgBZ&#10;AQAAgQUAAAAA&#10;">
                      <v:fill on="t" focussize="0,0"/>
                      <v:stroke color="#000000" joinstyle="miter"/>
                      <v:imagedata o:title=""/>
                      <o:lock v:ext="edit" aspectratio="f"/>
                      <v:textbox>
                        <w:txbxContent>
                          <w:p>
                            <w:pPr>
                              <w:jc w:val="center"/>
                              <w:rPr>
                                <w:b/>
                              </w:rPr>
                            </w:pPr>
                            <w:r>
                              <w:rPr>
                                <w:rFonts w:hint="eastAsia"/>
                                <w:b/>
                              </w:rPr>
                              <w:t>施工噪声、扬尘、固体废弃物、施工废水</w:t>
                            </w:r>
                          </w:p>
                        </w:txbxContent>
                      </v:textbox>
                    </v:rect>
                  </w:pict>
                </mc:Fallback>
              </mc:AlternateContent>
            </w:r>
            <w:r>
              <w:rPr>
                <w:rFonts w:ascii="Times New Roman" w:hAnsi="Times New Roman"/>
                <w:b/>
                <w:color w:val="auto"/>
                <w:szCs w:val="20"/>
              </w:rPr>
              <mc:AlternateContent>
                <mc:Choice Requires="wps">
                  <w:drawing>
                    <wp:anchor distT="0" distB="0" distL="114300" distR="114300" simplePos="0" relativeHeight="251674624" behindDoc="0" locked="0" layoutInCell="1" allowOverlap="1">
                      <wp:simplePos x="0" y="0"/>
                      <wp:positionH relativeFrom="column">
                        <wp:posOffset>752475</wp:posOffset>
                      </wp:positionH>
                      <wp:positionV relativeFrom="paragraph">
                        <wp:posOffset>6350</wp:posOffset>
                      </wp:positionV>
                      <wp:extent cx="1414780" cy="297180"/>
                      <wp:effectExtent l="5080" t="4445" r="8890" b="22225"/>
                      <wp:wrapNone/>
                      <wp:docPr id="17" name="Rectangle 146"/>
                      <wp:cNvGraphicFramePr/>
                      <a:graphic xmlns:a="http://schemas.openxmlformats.org/drawingml/2006/main">
                        <a:graphicData uri="http://schemas.microsoft.com/office/word/2010/wordprocessingShape">
                          <wps:wsp>
                            <wps:cNvSpPr/>
                            <wps:spPr>
                              <a:xfrm>
                                <a:off x="0" y="0"/>
                                <a:ext cx="141478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szCs w:val="16"/>
                                    </w:rPr>
                                  </w:pPr>
                                  <w:r>
                                    <w:rPr>
                                      <w:rFonts w:hint="eastAsia"/>
                                      <w:b/>
                                      <w:szCs w:val="16"/>
                                    </w:rPr>
                                    <w:t>施工设备</w:t>
                                  </w:r>
                                </w:p>
                              </w:txbxContent>
                            </wps:txbx>
                            <wps:bodyPr wrap="square" upright="1"/>
                          </wps:wsp>
                        </a:graphicData>
                      </a:graphic>
                    </wp:anchor>
                  </w:drawing>
                </mc:Choice>
                <mc:Fallback>
                  <w:pict>
                    <v:rect id="Rectangle 146" o:spid="_x0000_s1026" o:spt="1" style="position:absolute;left:0pt;margin-left:59.25pt;margin-top:0.5pt;height:23.4pt;width:111.4pt;z-index:251674624;mso-width-relative:page;mso-height-relative:page;" fillcolor="#FFFFFF" filled="t" stroked="t" coordsize="21600,21600" o:gfxdata="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7TwuNYA&#10;AAAIAQAADwAAAAAAAAABACAAAAAiAAAAZHJzL2Rvd25yZXYueG1sUEsBAhQAFAAAAAgAh07iQJ5f&#10;PVPoAQAA7wMAAA4AAAAAAAAAAQAgAAAAJQEAAGRycy9lMm9Eb2MueG1sUEsFBgAAAAAGAAYAWQEA&#10;AH8FAAAAAA==&#10;">
                      <v:fill on="t" focussize="0,0"/>
                      <v:stroke color="#000000" joinstyle="miter"/>
                      <v:imagedata o:title=""/>
                      <o:lock v:ext="edit" aspectratio="f"/>
                      <v:textbox>
                        <w:txbxContent>
                          <w:p>
                            <w:pPr>
                              <w:jc w:val="center"/>
                              <w:rPr>
                                <w:b/>
                                <w:szCs w:val="16"/>
                              </w:rPr>
                            </w:pPr>
                            <w:r>
                              <w:rPr>
                                <w:rFonts w:hint="eastAsia"/>
                                <w:b/>
                                <w:szCs w:val="16"/>
                              </w:rPr>
                              <w:t>施工设备</w:t>
                            </w:r>
                          </w:p>
                        </w:txbxContent>
                      </v:textbox>
                    </v:rect>
                  </w:pict>
                </mc:Fallback>
              </mc:AlternateContent>
            </w:r>
          </w:p>
          <w:p>
            <w:pPr>
              <w:spacing w:line="240" w:lineRule="atLeast"/>
              <w:rPr>
                <w:rFonts w:ascii="Times New Roman" w:hAnsi="Times New Roman"/>
                <w:b/>
                <w:color w:val="auto"/>
                <w:szCs w:val="20"/>
              </w:rPr>
            </w:pPr>
            <w:r>
              <w:rPr>
                <w:rFonts w:ascii="Times New Roman" w:hAnsi="Times New Roman"/>
                <w:b/>
                <w:color w:val="auto"/>
                <w:szCs w:val="20"/>
              </w:rPr>
              <mc:AlternateContent>
                <mc:Choice Requires="wps">
                  <w:drawing>
                    <wp:anchor distT="0" distB="0" distL="114300" distR="114300" simplePos="0" relativeHeight="251678720" behindDoc="0" locked="0" layoutInCell="1" allowOverlap="1">
                      <wp:simplePos x="0" y="0"/>
                      <wp:positionH relativeFrom="column">
                        <wp:posOffset>2167255</wp:posOffset>
                      </wp:positionH>
                      <wp:positionV relativeFrom="paragraph">
                        <wp:posOffset>50800</wp:posOffset>
                      </wp:positionV>
                      <wp:extent cx="1060450" cy="0"/>
                      <wp:effectExtent l="0" t="38100" r="6350" b="38100"/>
                      <wp:wrapNone/>
                      <wp:docPr id="21" name="Line 150"/>
                      <wp:cNvGraphicFramePr/>
                      <a:graphic xmlns:a="http://schemas.openxmlformats.org/drawingml/2006/main">
                        <a:graphicData uri="http://schemas.microsoft.com/office/word/2010/wordprocessingShape">
                          <wps:wsp>
                            <wps:cNvCnPr/>
                            <wps:spPr>
                              <a:xfrm>
                                <a:off x="0" y="0"/>
                                <a:ext cx="10604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50" o:spid="_x0000_s1026" o:spt="20" style="position:absolute;left:0pt;margin-left:170.65pt;margin-top:4pt;height:0pt;width:83.5pt;z-index:251678720;mso-width-relative:page;mso-height-relative:page;" filled="f" stroked="t" coordsize="21600,21600" o:gfxdata="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qA/rNYAAAAHAQAADwAAAAAAAAABACAAAAAiAAAAZHJzL2Rvd25y&#10;ZXYueG1sUEsBAhQAFAAAAAgAh07iQKKDG9XHAQAAkgMAAA4AAAAAAAAAAQAgAAAAJQEAAGRycy9l&#10;Mm9Eb2MueG1sUEsFBgAAAAAGAAYAWQEAAF4FAAAAAA==&#10;">
                      <v:fill on="f" focussize="0,0"/>
                      <v:stroke color="#000000" joinstyle="round" endarrow="block"/>
                      <v:imagedata o:title=""/>
                      <o:lock v:ext="edit" aspectratio="f"/>
                    </v:line>
                  </w:pict>
                </mc:Fallback>
              </mc:AlternateContent>
            </w:r>
          </w:p>
          <w:p>
            <w:pPr>
              <w:spacing w:line="240" w:lineRule="atLeast"/>
              <w:rPr>
                <w:rFonts w:hint="eastAsia" w:ascii="Times New Roman" w:hAnsi="Times New Roman"/>
                <w:b/>
                <w:color w:val="auto"/>
                <w:szCs w:val="20"/>
              </w:rPr>
            </w:pPr>
          </w:p>
          <w:p>
            <w:pPr>
              <w:spacing w:line="240" w:lineRule="atLeast"/>
              <w:rPr>
                <w:rFonts w:hint="eastAsia" w:ascii="Times New Roman" w:hAnsi="Times New Roman"/>
                <w:b/>
                <w:color w:val="auto"/>
                <w:szCs w:val="20"/>
              </w:rPr>
            </w:pPr>
          </w:p>
          <w:p>
            <w:pPr>
              <w:spacing w:line="240" w:lineRule="atLeast"/>
              <w:rPr>
                <w:rFonts w:ascii="Times New Roman" w:hAnsi="Times New Roman"/>
                <w:color w:val="auto"/>
                <w:szCs w:val="20"/>
              </w:rPr>
            </w:pPr>
            <w:r>
              <w:rPr>
                <w:rFonts w:ascii="Times New Roman" w:hAnsi="Times New Roman"/>
                <w:b/>
                <w:color w:val="auto"/>
                <w:szCs w:val="20"/>
              </w:rPr>
              <mc:AlternateContent>
                <mc:Choice Requires="wps">
                  <w:drawing>
                    <wp:anchor distT="0" distB="0" distL="114300" distR="114300" simplePos="0" relativeHeight="251672576" behindDoc="0" locked="0" layoutInCell="1" allowOverlap="1">
                      <wp:simplePos x="0" y="0"/>
                      <wp:positionH relativeFrom="column">
                        <wp:posOffset>2331720</wp:posOffset>
                      </wp:positionH>
                      <wp:positionV relativeFrom="paragraph">
                        <wp:posOffset>19685</wp:posOffset>
                      </wp:positionV>
                      <wp:extent cx="571500" cy="387985"/>
                      <wp:effectExtent l="4445" t="4445" r="14605" b="7620"/>
                      <wp:wrapNone/>
                      <wp:docPr id="15" name="Rectangle 144"/>
                      <wp:cNvGraphicFramePr/>
                      <a:graphic xmlns:a="http://schemas.openxmlformats.org/drawingml/2006/main">
                        <a:graphicData uri="http://schemas.microsoft.com/office/word/2010/wordprocessingShape">
                          <wps:wsp>
                            <wps:cNvSpPr/>
                            <wps:spPr>
                              <a:xfrm>
                                <a:off x="0" y="0"/>
                                <a:ext cx="571500" cy="3879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b/>
                                    </w:rPr>
                                  </w:pPr>
                                  <w:r>
                                    <w:rPr>
                                      <w:rFonts w:hint="eastAsia"/>
                                      <w:b/>
                                    </w:rPr>
                                    <w:t>产 生</w:t>
                                  </w:r>
                                </w:p>
                              </w:txbxContent>
                            </wps:txbx>
                            <wps:bodyPr wrap="square" upright="1"/>
                          </wps:wsp>
                        </a:graphicData>
                      </a:graphic>
                    </wp:anchor>
                  </w:drawing>
                </mc:Choice>
                <mc:Fallback>
                  <w:pict>
                    <v:rect id="Rectangle 144" o:spid="_x0000_s1026" o:spt="1" style="position:absolute;left:0pt;margin-left:183.6pt;margin-top:1.55pt;height:30.55pt;width:45pt;z-index:251672576;mso-width-relative:page;mso-height-relative:page;" fillcolor="#FFFFFF" filled="t" stroked="t" coordsize="21600,21600" o:gfxdata="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3YuY21gAAAAgB&#10;AAAPAAAAAAAAAAEAIAAAACIAAABkcnMvZG93bnJldi54bWxQSwECFAAUAAAACACHTuJAmNQ+HOQB&#10;AADuAwAADgAAAAAAAAABACAAAAAlAQAAZHJzL2Uyb0RvYy54bWxQSwUGAAAAAAYABgBZAQAAewUA&#10;AAAA&#10;">
                      <v:fill on="t" focussize="0,0"/>
                      <v:stroke color="#FFFFFF" joinstyle="miter"/>
                      <v:imagedata o:title=""/>
                      <o:lock v:ext="edit" aspectratio="f"/>
                      <v:textbox>
                        <w:txbxContent>
                          <w:p>
                            <w:pPr>
                              <w:rPr>
                                <w:b/>
                              </w:rPr>
                            </w:pPr>
                            <w:r>
                              <w:rPr>
                                <w:rFonts w:hint="eastAsia"/>
                                <w:b/>
                              </w:rPr>
                              <w:t>产 生</w:t>
                            </w:r>
                          </w:p>
                        </w:txbxContent>
                      </v:textbox>
                    </v:rect>
                  </w:pict>
                </mc:Fallback>
              </mc:AlternateContent>
            </w:r>
            <w:r>
              <w:rPr>
                <w:rFonts w:ascii="Times New Roman" w:hAnsi="Times New Roman"/>
                <w:b/>
                <w:color w:val="auto"/>
                <w:szCs w:val="20"/>
              </w:rPr>
              <mc:AlternateContent>
                <mc:Choice Requires="wps">
                  <w:drawing>
                    <wp:anchor distT="0" distB="0" distL="114300" distR="114300" simplePos="0" relativeHeight="251677696" behindDoc="0" locked="0" layoutInCell="1" allowOverlap="1">
                      <wp:simplePos x="0" y="0"/>
                      <wp:positionH relativeFrom="column">
                        <wp:posOffset>3178810</wp:posOffset>
                      </wp:positionH>
                      <wp:positionV relativeFrom="paragraph">
                        <wp:posOffset>43815</wp:posOffset>
                      </wp:positionV>
                      <wp:extent cx="2067560" cy="552450"/>
                      <wp:effectExtent l="4445" t="4445" r="23495" b="14605"/>
                      <wp:wrapNone/>
                      <wp:docPr id="20" name="Text Box 149"/>
                      <wp:cNvGraphicFramePr/>
                      <a:graphic xmlns:a="http://schemas.openxmlformats.org/drawingml/2006/main">
                        <a:graphicData uri="http://schemas.microsoft.com/office/word/2010/wordprocessingShape">
                          <wps:wsp>
                            <wps:cNvSpPr txBox="1"/>
                            <wps:spPr>
                              <a:xfrm>
                                <a:off x="0" y="0"/>
                                <a:ext cx="2067560"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b/>
                                    </w:rPr>
                                  </w:pPr>
                                  <w:r>
                                    <w:rPr>
                                      <w:rFonts w:hint="eastAsia"/>
                                      <w:b/>
                                    </w:rPr>
                                    <w:t>噪声、工频电场、工频磁场</w:t>
                                  </w:r>
                                </w:p>
                              </w:txbxContent>
                            </wps:txbx>
                            <wps:bodyPr wrap="square" upright="1"/>
                          </wps:wsp>
                        </a:graphicData>
                      </a:graphic>
                    </wp:anchor>
                  </w:drawing>
                </mc:Choice>
                <mc:Fallback>
                  <w:pict>
                    <v:shape id="Text Box 149" o:spid="_x0000_s1026" o:spt="202" type="#_x0000_t202" style="position:absolute;left:0pt;margin-left:250.3pt;margin-top:3.45pt;height:43.5pt;width:162.8pt;z-index:251677696;mso-width-relative:page;mso-height-relative:page;" fillcolor="#FFFFFF" filled="t" stroked="t" coordsize="21600,21600" o:gfxdata="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MB+7K1wAAAAgBAAAPAAAAAAAAAAEAIAAAACIAAABkcnMvZG93bnJldi54bWxQSwECFAAUAAAA&#10;CACHTuJAIqdsVO8BAAD4AwAADgAAAAAAAAABACAAAAAmAQAAZHJzL2Uyb0RvYy54bWxQSwUGAAAA&#10;AAYABgBZAQAAhwUAAAAA&#10;">
                      <v:fill on="t" focussize="0,0"/>
                      <v:stroke color="#000000" joinstyle="miter"/>
                      <v:imagedata o:title=""/>
                      <o:lock v:ext="edit" aspectratio="f"/>
                      <v:textbox>
                        <w:txbxContent>
                          <w:p>
                            <w:pPr>
                              <w:spacing w:line="360" w:lineRule="auto"/>
                              <w:rPr>
                                <w:b/>
                              </w:rPr>
                            </w:pPr>
                            <w:r>
                              <w:rPr>
                                <w:rFonts w:hint="eastAsia"/>
                                <w:b/>
                              </w:rPr>
                              <w:t>噪声、工频电场、工频磁场</w:t>
                            </w:r>
                          </w:p>
                        </w:txbxContent>
                      </v:textbox>
                    </v:shape>
                  </w:pict>
                </mc:Fallback>
              </mc:AlternateContent>
            </w:r>
            <w:r>
              <w:rPr>
                <w:rFonts w:ascii="Times New Roman" w:hAnsi="Times New Roman"/>
                <w:color w:val="auto"/>
                <w:szCs w:val="20"/>
              </w:rPr>
              <mc:AlternateContent>
                <mc:Choice Requires="wps">
                  <w:drawing>
                    <wp:anchor distT="0" distB="0" distL="114300" distR="114300" simplePos="0" relativeHeight="251676672" behindDoc="0" locked="0" layoutInCell="1" allowOverlap="1">
                      <wp:simplePos x="0" y="0"/>
                      <wp:positionH relativeFrom="column">
                        <wp:posOffset>754380</wp:posOffset>
                      </wp:positionH>
                      <wp:positionV relativeFrom="paragraph">
                        <wp:posOffset>184785</wp:posOffset>
                      </wp:positionV>
                      <wp:extent cx="1363980" cy="297180"/>
                      <wp:effectExtent l="4445" t="4445" r="22225" b="22225"/>
                      <wp:wrapNone/>
                      <wp:docPr id="19" name="Rectangle 148"/>
                      <wp:cNvGraphicFramePr/>
                      <a:graphic xmlns:a="http://schemas.openxmlformats.org/drawingml/2006/main">
                        <a:graphicData uri="http://schemas.microsoft.com/office/word/2010/wordprocessingShape">
                          <wps:wsp>
                            <wps:cNvSpPr/>
                            <wps:spPr>
                              <a:xfrm>
                                <a:off x="0" y="0"/>
                                <a:ext cx="136398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设备运行</w:t>
                                  </w:r>
                                </w:p>
                              </w:txbxContent>
                            </wps:txbx>
                            <wps:bodyPr wrap="square" upright="1"/>
                          </wps:wsp>
                        </a:graphicData>
                      </a:graphic>
                    </wp:anchor>
                  </w:drawing>
                </mc:Choice>
                <mc:Fallback>
                  <w:pict>
                    <v:rect id="Rectangle 148" o:spid="_x0000_s1026" o:spt="1" style="position:absolute;left:0pt;margin-left:59.4pt;margin-top:14.55pt;height:23.4pt;width:107.4pt;z-index:251676672;mso-width-relative:page;mso-height-relative:page;" fillcolor="#FFFFFF" filled="t" stroked="t" coordsize="21600,21600" o:gfxdata="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9MQQ0&#10;1wAAAAkBAAAPAAAAAAAAAAEAIAAAACIAAABkcnMvZG93bnJldi54bWxQSwECFAAUAAAACACHTuJA&#10;FAhX2ekBAADvAwAADgAAAAAAAAABACAAAAAmAQAAZHJzL2Uyb0RvYy54bWxQSwUGAAAAAAYABgBZ&#10;AQAAgQUAAAAA&#10;">
                      <v:fill on="t" focussize="0,0"/>
                      <v:stroke color="#000000" joinstyle="miter"/>
                      <v:imagedata o:title=""/>
                      <o:lock v:ext="edit" aspectratio="f"/>
                      <v:textbox>
                        <w:txbxContent>
                          <w:p>
                            <w:pPr>
                              <w:jc w:val="center"/>
                              <w:rPr>
                                <w:b/>
                              </w:rPr>
                            </w:pPr>
                            <w:r>
                              <w:rPr>
                                <w:rFonts w:hint="eastAsia"/>
                                <w:b/>
                              </w:rPr>
                              <w:t>设备运行</w:t>
                            </w:r>
                          </w:p>
                        </w:txbxContent>
                      </v:textbox>
                    </v:rect>
                  </w:pict>
                </mc:Fallback>
              </mc:AlternateContent>
            </w:r>
            <w:r>
              <w:rPr>
                <w:rFonts w:ascii="Times New Roman" w:hAnsi="Times New Roman"/>
                <w:color w:val="auto"/>
                <w:szCs w:val="20"/>
              </w:rPr>
              <mc:AlternateContent>
                <mc:Choice Requires="wps">
                  <w:drawing>
                    <wp:anchor distT="0" distB="0" distL="114300" distR="114300" simplePos="0" relativeHeight="251679744" behindDoc="0" locked="0" layoutInCell="1" allowOverlap="1">
                      <wp:simplePos x="0" y="0"/>
                      <wp:positionH relativeFrom="column">
                        <wp:posOffset>2118360</wp:posOffset>
                      </wp:positionH>
                      <wp:positionV relativeFrom="paragraph">
                        <wp:posOffset>283845</wp:posOffset>
                      </wp:positionV>
                      <wp:extent cx="1060450" cy="0"/>
                      <wp:effectExtent l="0" t="38100" r="6350" b="38100"/>
                      <wp:wrapNone/>
                      <wp:docPr id="22" name="Line 151"/>
                      <wp:cNvGraphicFramePr/>
                      <a:graphic xmlns:a="http://schemas.openxmlformats.org/drawingml/2006/main">
                        <a:graphicData uri="http://schemas.microsoft.com/office/word/2010/wordprocessingShape">
                          <wps:wsp>
                            <wps:cNvCnPr/>
                            <wps:spPr>
                              <a:xfrm>
                                <a:off x="0" y="0"/>
                                <a:ext cx="10604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51" o:spid="_x0000_s1026" o:spt="20" style="position:absolute;left:0pt;margin-left:166.8pt;margin-top:22.35pt;height:0pt;width:83.5pt;z-index:251679744;mso-width-relative:page;mso-height-relative:page;" filled="f" stroked="t" coordsize="21600,21600" o:gfxdata="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2g/4xdgAAAAJAQAADwAAAAAAAAABACAAAAAiAAAAZHJzL2Rv&#10;d25yZXYueG1sUEsBAhQAFAAAAAgAh07iQFebOt7IAQAAkgMAAA4AAAAAAAAAAQAgAAAAJwEAAGRy&#10;cy9lMm9Eb2MueG1sUEsFBgAAAAAGAAYAWQEAAGEFAAAAAA==&#10;">
                      <v:fill on="f" focussize="0,0"/>
                      <v:stroke color="#000000" joinstyle="round" endarrow="block"/>
                      <v:imagedata o:title=""/>
                      <o:lock v:ext="edit" aspectratio="f"/>
                    </v:line>
                  </w:pict>
                </mc:Fallback>
              </mc:AlternateContent>
            </w:r>
          </w:p>
          <w:p>
            <w:pPr>
              <w:bidi w:val="0"/>
              <w:rPr>
                <w:rFonts w:ascii="Calibri" w:hAnsi="Calibri"/>
                <w:color w:val="auto"/>
                <w:kern w:val="2"/>
                <w:sz w:val="21"/>
                <w:szCs w:val="21"/>
                <w:lang w:bidi="ar-SA"/>
              </w:rPr>
            </w:pPr>
          </w:p>
          <w:p>
            <w:pPr>
              <w:bidi w:val="0"/>
              <w:rPr>
                <w:color w:val="auto"/>
              </w:rPr>
            </w:pPr>
          </w:p>
          <w:p>
            <w:pPr>
              <w:bidi w:val="0"/>
              <w:rPr>
                <w:color w:val="auto"/>
              </w:rPr>
            </w:pPr>
          </w:p>
          <w:p>
            <w:pPr>
              <w:bidi w:val="0"/>
              <w:rPr>
                <w:color w:val="auto"/>
              </w:rPr>
            </w:pPr>
          </w:p>
          <w:p>
            <w:pPr>
              <w:tabs>
                <w:tab w:val="left" w:pos="2573"/>
              </w:tabs>
              <w:bidi w:val="0"/>
              <w:jc w:val="left"/>
              <w:rPr>
                <w:rFonts w:hint="eastAsia" w:eastAsia="宋体"/>
                <w:color w:val="auto"/>
                <w:lang w:eastAsia="zh-CN"/>
              </w:rPr>
            </w:pPr>
            <w:r>
              <w:rPr>
                <w:rFonts w:hint="eastAsia"/>
                <w:color w:val="auto"/>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42" w:hRule="atLeast"/>
        </w:trPr>
        <w:tc>
          <w:tcPr>
            <w:tcW w:w="8647" w:type="dxa"/>
            <w:tcBorders>
              <w:top w:val="single" w:color="auto" w:sz="6" w:space="0"/>
              <w:bottom w:val="single" w:color="auto" w:sz="4" w:space="0"/>
            </w:tcBorders>
            <w:vAlign w:val="top"/>
          </w:tcPr>
          <w:p>
            <w:pPr>
              <w:spacing w:line="360" w:lineRule="auto"/>
              <w:rPr>
                <w:rFonts w:hint="eastAsia" w:ascii="Times New Roman" w:hAnsi="Times New Roman"/>
                <w:b/>
                <w:color w:val="auto"/>
              </w:rPr>
            </w:pPr>
            <w:r>
              <w:rPr>
                <w:rFonts w:hint="eastAsia" w:ascii="Times New Roman" w:hAnsi="Times New Roman"/>
                <w:b/>
                <w:color w:val="auto"/>
              </w:rPr>
              <w:t>主要污染工序：</w:t>
            </w:r>
          </w:p>
          <w:p>
            <w:pPr>
              <w:spacing w:line="360" w:lineRule="auto"/>
              <w:rPr>
                <w:rFonts w:ascii="Times New Roman" w:hAnsi="Times New Roman"/>
                <w:b/>
                <w:color w:val="auto"/>
              </w:rPr>
            </w:pPr>
            <w:r>
              <w:rPr>
                <w:rFonts w:ascii="Times New Roman" w:hAnsi="Times New Roman"/>
                <w:b/>
                <w:color w:val="auto"/>
              </w:rPr>
              <w:t>1施工期</w:t>
            </w:r>
          </w:p>
          <w:p>
            <w:pPr>
              <w:spacing w:line="360" w:lineRule="auto"/>
              <w:ind w:firstLine="420" w:firstLineChars="200"/>
              <w:rPr>
                <w:rFonts w:ascii="Times New Roman" w:hAnsi="Times New Roman"/>
                <w:color w:val="auto"/>
              </w:rPr>
            </w:pPr>
            <w:r>
              <w:rPr>
                <w:rFonts w:ascii="Times New Roman" w:hAnsi="Times New Roman"/>
                <w:color w:val="auto"/>
              </w:rPr>
              <w:t>（</w:t>
            </w:r>
            <w:r>
              <w:rPr>
                <w:rFonts w:hint="eastAsia" w:ascii="Times New Roman" w:hAnsi="Times New Roman"/>
                <w:color w:val="auto"/>
              </w:rPr>
              <w:t>1</w:t>
            </w:r>
            <w:r>
              <w:rPr>
                <w:rFonts w:ascii="Times New Roman" w:hAnsi="Times New Roman"/>
                <w:color w:val="auto"/>
              </w:rPr>
              <w:t>）噪声</w:t>
            </w:r>
          </w:p>
          <w:p>
            <w:pPr>
              <w:spacing w:line="360" w:lineRule="auto"/>
              <w:ind w:firstLine="420" w:firstLineChars="200"/>
              <w:rPr>
                <w:rFonts w:hint="eastAsia" w:ascii="Times New Roman" w:hAnsi="Times New Roman"/>
                <w:color w:val="auto"/>
              </w:rPr>
            </w:pPr>
            <w:bookmarkStart w:id="25" w:name="_Toc142378583"/>
            <w:bookmarkStart w:id="26" w:name="_Toc142384716"/>
            <w:bookmarkStart w:id="27" w:name="_Toc142381963"/>
            <w:bookmarkStart w:id="28" w:name="_Toc142385647"/>
            <w:r>
              <w:rPr>
                <w:rFonts w:ascii="Times New Roman" w:hAnsi="Times New Roman"/>
                <w:color w:val="auto"/>
              </w:rPr>
              <w:t>项目土建施工和设备安装施工时需使用较多的高噪声机械设备，其</w:t>
            </w:r>
            <w:r>
              <w:rPr>
                <w:rFonts w:hint="eastAsia" w:ascii="Times New Roman" w:hAnsi="Times New Roman"/>
                <w:color w:val="auto"/>
              </w:rPr>
              <w:t>距离</w:t>
            </w:r>
            <w:r>
              <w:rPr>
                <w:rFonts w:ascii="Times New Roman" w:hAnsi="Times New Roman"/>
                <w:color w:val="auto"/>
              </w:rPr>
              <w:t>源强</w:t>
            </w:r>
            <w:r>
              <w:rPr>
                <w:rFonts w:hint="eastAsia" w:ascii="Times New Roman" w:hAnsi="Times New Roman"/>
                <w:color w:val="auto"/>
              </w:rPr>
              <w:t>5m处声压级</w:t>
            </w:r>
            <w:r>
              <w:rPr>
                <w:rFonts w:ascii="Times New Roman" w:hAnsi="Times New Roman"/>
                <w:color w:val="auto"/>
              </w:rPr>
              <w:t>最大可达到</w:t>
            </w:r>
            <w:r>
              <w:rPr>
                <w:rFonts w:hint="eastAsia" w:ascii="Times New Roman" w:hAnsi="Times New Roman"/>
                <w:color w:val="auto"/>
              </w:rPr>
              <w:t>110</w:t>
            </w:r>
            <w:r>
              <w:rPr>
                <w:rFonts w:ascii="Times New Roman" w:hAnsi="Times New Roman"/>
                <w:color w:val="auto"/>
              </w:rPr>
              <w:t>dB</w:t>
            </w:r>
            <w:bookmarkEnd w:id="25"/>
            <w:bookmarkEnd w:id="26"/>
            <w:bookmarkEnd w:id="27"/>
            <w:bookmarkEnd w:id="28"/>
            <w:r>
              <w:rPr>
                <w:rFonts w:hint="eastAsia" w:ascii="Times New Roman" w:hAnsi="Times New Roman"/>
                <w:color w:val="auto"/>
              </w:rPr>
              <w:t>（A）</w:t>
            </w:r>
            <w:r>
              <w:rPr>
                <w:rFonts w:ascii="Times New Roman" w:hAnsi="Times New Roman"/>
                <w:color w:val="auto"/>
              </w:rPr>
              <w:t>。</w:t>
            </w:r>
            <w:r>
              <w:rPr>
                <w:rFonts w:ascii="Times New Roman" w:hAnsi="Times New Roman"/>
                <w:color w:val="auto"/>
                <w:szCs w:val="20"/>
              </w:rPr>
              <w:t>在架线施工过程中，各牵张场内的牵张机、绞磨机等设备产生一定的机械噪声，其</w:t>
            </w:r>
            <w:r>
              <w:rPr>
                <w:rFonts w:hint="eastAsia" w:ascii="Times New Roman" w:hAnsi="Times New Roman"/>
                <w:color w:val="auto"/>
                <w:szCs w:val="20"/>
              </w:rPr>
              <w:t>声压级</w:t>
            </w:r>
            <w:r>
              <w:rPr>
                <w:rFonts w:ascii="Times New Roman" w:hAnsi="Times New Roman"/>
                <w:color w:val="auto"/>
                <w:szCs w:val="20"/>
              </w:rPr>
              <w:t>一般小于70dB（A）。</w:t>
            </w:r>
          </w:p>
          <w:p>
            <w:pPr>
              <w:spacing w:line="360" w:lineRule="auto"/>
              <w:ind w:firstLine="420" w:firstLineChars="200"/>
              <w:rPr>
                <w:rFonts w:ascii="Times New Roman" w:hAnsi="Times New Roman"/>
                <w:color w:val="auto"/>
              </w:rPr>
            </w:pPr>
            <w:r>
              <w:rPr>
                <w:rFonts w:ascii="Times New Roman" w:hAnsi="Times New Roman"/>
                <w:color w:val="auto"/>
              </w:rPr>
              <w:t>（</w:t>
            </w:r>
            <w:r>
              <w:rPr>
                <w:rFonts w:hint="eastAsia" w:ascii="Times New Roman" w:hAnsi="Times New Roman"/>
                <w:color w:val="auto"/>
              </w:rPr>
              <w:t>2</w:t>
            </w:r>
            <w:r>
              <w:rPr>
                <w:rFonts w:ascii="Times New Roman" w:hAnsi="Times New Roman"/>
                <w:color w:val="auto"/>
              </w:rPr>
              <w:t>）扬尘、粉尘</w:t>
            </w:r>
          </w:p>
          <w:p>
            <w:pPr>
              <w:spacing w:line="360" w:lineRule="auto"/>
              <w:ind w:firstLine="420" w:firstLineChars="200"/>
              <w:rPr>
                <w:rFonts w:hint="eastAsia" w:ascii="Times New Roman" w:hAnsi="Times New Roman"/>
                <w:color w:val="auto"/>
              </w:rPr>
            </w:pPr>
            <w:r>
              <w:rPr>
                <w:rFonts w:hint="eastAsia" w:ascii="Times New Roman" w:hAnsi="Times New Roman"/>
                <w:color w:val="auto"/>
              </w:rPr>
              <w:t>整个施工期，扬尘来自于地基开挖、平整土地、道路的铺浇、材料运输、装卸等过程，对周围大气环境影响是短暂的，施工结束后即可恢复。施工期间需在施工区及运输路段定期进行洒水防尘。</w:t>
            </w:r>
          </w:p>
          <w:p>
            <w:pPr>
              <w:spacing w:line="360" w:lineRule="auto"/>
              <w:ind w:firstLine="420" w:firstLineChars="200"/>
              <w:rPr>
                <w:rFonts w:ascii="Times New Roman" w:hAnsi="Times New Roman"/>
                <w:color w:val="auto"/>
              </w:rPr>
            </w:pPr>
            <w:r>
              <w:rPr>
                <w:rFonts w:ascii="Times New Roman" w:hAnsi="Times New Roman"/>
                <w:color w:val="auto"/>
              </w:rPr>
              <w:t>（3）废（污）水</w:t>
            </w:r>
          </w:p>
          <w:p>
            <w:pPr>
              <w:spacing w:line="360" w:lineRule="auto"/>
              <w:ind w:firstLine="420" w:firstLineChars="200"/>
              <w:rPr>
                <w:rFonts w:hint="eastAsia" w:ascii="Times New Roman" w:hAnsi="Times New Roman"/>
                <w:color w:val="auto"/>
              </w:rPr>
            </w:pPr>
            <w:r>
              <w:rPr>
                <w:rFonts w:ascii="Times New Roman" w:hAnsi="Times New Roman"/>
                <w:color w:val="auto"/>
              </w:rPr>
              <w:t>220kV</w:t>
            </w:r>
            <w:r>
              <w:rPr>
                <w:rFonts w:hint="eastAsia" w:ascii="Times New Roman" w:hAnsi="Times New Roman"/>
                <w:color w:val="auto"/>
              </w:rPr>
              <w:t>输电线路铁塔基础采用商用混凝土，施工期基本无废水产生，施工人员</w:t>
            </w:r>
            <w:r>
              <w:rPr>
                <w:color w:val="auto"/>
              </w:rPr>
              <w:t>统一集中居住在施工点附近村庄租住的民房内，生活污水排入居住点的化粪池中。</w:t>
            </w:r>
          </w:p>
          <w:p>
            <w:pPr>
              <w:spacing w:line="360" w:lineRule="auto"/>
              <w:ind w:firstLine="420" w:firstLineChars="200"/>
              <w:rPr>
                <w:rFonts w:ascii="Times New Roman" w:hAnsi="Times New Roman"/>
                <w:color w:val="auto"/>
              </w:rPr>
            </w:pPr>
            <w:r>
              <w:rPr>
                <w:rFonts w:ascii="Times New Roman" w:hAnsi="Times New Roman"/>
                <w:color w:val="auto"/>
              </w:rPr>
              <w:t>（</w:t>
            </w:r>
            <w:r>
              <w:rPr>
                <w:rFonts w:hint="eastAsia" w:ascii="Times New Roman" w:hAnsi="Times New Roman"/>
                <w:color w:val="auto"/>
              </w:rPr>
              <w:t>4</w:t>
            </w:r>
            <w:r>
              <w:rPr>
                <w:rFonts w:ascii="Times New Roman" w:hAnsi="Times New Roman"/>
                <w:color w:val="auto"/>
              </w:rPr>
              <w:t>）固体废物</w:t>
            </w:r>
          </w:p>
          <w:p>
            <w:pPr>
              <w:spacing w:line="360" w:lineRule="auto"/>
              <w:ind w:firstLine="420" w:firstLineChars="200"/>
              <w:rPr>
                <w:rFonts w:ascii="Times New Roman" w:hAnsi="Times New Roman"/>
                <w:color w:val="auto"/>
              </w:rPr>
            </w:pPr>
            <w:r>
              <w:rPr>
                <w:rFonts w:ascii="Times New Roman" w:hAnsi="Times New Roman"/>
                <w:color w:val="auto"/>
              </w:rPr>
              <w:t>施工期的固体废物主要有施工人员的生活垃圾</w:t>
            </w:r>
            <w:r>
              <w:rPr>
                <w:rFonts w:hint="eastAsia" w:ascii="Times New Roman" w:hAnsi="Times New Roman"/>
                <w:color w:val="auto"/>
              </w:rPr>
              <w:t>，</w:t>
            </w:r>
            <w:r>
              <w:rPr>
                <w:rFonts w:hint="eastAsia" w:ascii="Times New Roman" w:hAnsi="Times New Roman"/>
                <w:color w:val="auto"/>
                <w:lang w:eastAsia="zh-CN"/>
              </w:rPr>
              <w:t>施工废料</w:t>
            </w:r>
            <w:r>
              <w:rPr>
                <w:rFonts w:ascii="Times New Roman" w:hAnsi="Times New Roman"/>
                <w:color w:val="auto"/>
              </w:rPr>
              <w:t>以及拆除的</w:t>
            </w:r>
            <w:r>
              <w:rPr>
                <w:rFonts w:hint="eastAsia" w:ascii="Times New Roman" w:hAnsi="Times New Roman"/>
                <w:color w:val="auto"/>
                <w:lang w:eastAsia="zh-CN"/>
              </w:rPr>
              <w:t>导线、</w:t>
            </w:r>
            <w:r>
              <w:rPr>
                <w:rFonts w:ascii="Times New Roman" w:hAnsi="Times New Roman"/>
                <w:color w:val="auto"/>
              </w:rPr>
              <w:t>绝缘子串等金具等。</w:t>
            </w:r>
          </w:p>
          <w:p>
            <w:pPr>
              <w:spacing w:line="360" w:lineRule="auto"/>
              <w:ind w:firstLine="420"/>
              <w:rPr>
                <w:rFonts w:ascii="Times New Roman" w:hAnsi="Times New Roman"/>
                <w:color w:val="auto"/>
              </w:rPr>
            </w:pPr>
            <w:r>
              <w:rPr>
                <w:rFonts w:ascii="Times New Roman" w:hAnsi="Times New Roman"/>
                <w:color w:val="auto"/>
              </w:rPr>
              <w:t>输电线路施工期间施工人员产生的生活垃圾，生活垃圾集中堆放至施工人员租住民房所在村庄的垃圾堆放场地，并与当地村庄的生活垃圾一起集中处理。</w:t>
            </w:r>
          </w:p>
          <w:p>
            <w:pPr>
              <w:spacing w:line="360" w:lineRule="auto"/>
              <w:ind w:firstLine="420" w:firstLineChars="200"/>
              <w:rPr>
                <w:rFonts w:hint="eastAsia" w:ascii="Times New Roman" w:hAnsi="Times New Roman"/>
                <w:color w:val="auto"/>
              </w:rPr>
            </w:pPr>
            <w:r>
              <w:rPr>
                <w:rFonts w:ascii="Times New Roman" w:hAnsi="Times New Roman"/>
                <w:color w:val="auto"/>
              </w:rPr>
              <w:t>施工垃圾主要为施工废料及边角余料，边角余料由厂家回收，施工废料集中堆放，并送至指定场所进行处理。</w:t>
            </w:r>
            <w:r>
              <w:rPr>
                <w:rFonts w:hint="eastAsia" w:ascii="Times New Roman" w:hAnsi="Times New Roman"/>
                <w:color w:val="auto"/>
              </w:rPr>
              <w:t>本工程输电线路塔基施工开挖的土石方基本回填，应按表层土在上的顺序堆放至塔基中间，便于植被恢复。</w:t>
            </w:r>
          </w:p>
          <w:p>
            <w:pPr>
              <w:spacing w:line="360" w:lineRule="auto"/>
              <w:ind w:firstLine="420" w:firstLineChars="200"/>
              <w:rPr>
                <w:rFonts w:ascii="Times New Roman" w:hAnsi="Times New Roman"/>
                <w:color w:val="auto"/>
                <w:kern w:val="0"/>
              </w:rPr>
            </w:pPr>
            <w:r>
              <w:rPr>
                <w:rFonts w:hint="eastAsia" w:ascii="Times New Roman" w:hAnsi="Times New Roman"/>
                <w:color w:val="auto"/>
                <w:kern w:val="0"/>
              </w:rPr>
              <w:t>本工程</w:t>
            </w:r>
            <w:r>
              <w:rPr>
                <w:rFonts w:ascii="Times New Roman" w:hAnsi="Times New Roman"/>
                <w:color w:val="auto"/>
                <w:kern w:val="0"/>
              </w:rPr>
              <w:t>拆除</w:t>
            </w:r>
            <w:r>
              <w:rPr>
                <w:rFonts w:hint="eastAsia" w:ascii="Times New Roman" w:hAnsi="Times New Roman"/>
                <w:color w:val="auto"/>
                <w:kern w:val="0"/>
                <w:lang w:eastAsia="zh-CN"/>
              </w:rPr>
              <w:t>临时保电</w:t>
            </w:r>
            <w:r>
              <w:rPr>
                <w:rFonts w:ascii="Times New Roman" w:hAnsi="Times New Roman"/>
                <w:color w:val="auto"/>
                <w:kern w:val="0"/>
              </w:rPr>
              <w:t>线路</w:t>
            </w:r>
            <w:r>
              <w:rPr>
                <w:rFonts w:hint="eastAsia" w:ascii="Times New Roman" w:hAnsi="Times New Roman"/>
                <w:color w:val="auto"/>
                <w:kern w:val="0"/>
                <w:lang w:eastAsia="zh-CN"/>
              </w:rPr>
              <w:t>杆塔</w:t>
            </w:r>
            <w:r>
              <w:rPr>
                <w:rFonts w:hint="eastAsia" w:ascii="Times New Roman" w:hAnsi="Times New Roman"/>
                <w:color w:val="auto"/>
                <w:kern w:val="0"/>
                <w:lang w:val="en-US" w:eastAsia="zh-CN"/>
              </w:rPr>
              <w:t>4</w:t>
            </w:r>
            <w:r>
              <w:rPr>
                <w:rFonts w:ascii="Times New Roman" w:hAnsi="Times New Roman"/>
                <w:color w:val="auto"/>
                <w:kern w:val="0"/>
              </w:rPr>
              <w:t>基</w:t>
            </w:r>
            <w:r>
              <w:rPr>
                <w:rFonts w:hint="eastAsia" w:ascii="Times New Roman" w:hAnsi="Times New Roman"/>
                <w:color w:val="auto"/>
                <w:kern w:val="0"/>
                <w:lang w:eastAsia="zh-CN"/>
              </w:rPr>
              <w:t>及相应导线和绝缘子</w:t>
            </w:r>
            <w:r>
              <w:rPr>
                <w:rFonts w:ascii="Times New Roman" w:hAnsi="Times New Roman"/>
                <w:color w:val="auto"/>
                <w:kern w:val="0"/>
              </w:rPr>
              <w:t>串。拆除</w:t>
            </w:r>
            <w:r>
              <w:rPr>
                <w:rFonts w:hint="eastAsia" w:ascii="Times New Roman" w:hAnsi="Times New Roman"/>
                <w:color w:val="auto"/>
                <w:kern w:val="0"/>
                <w:lang w:eastAsia="zh-CN"/>
              </w:rPr>
              <w:t>杆塔</w:t>
            </w:r>
            <w:r>
              <w:rPr>
                <w:rFonts w:ascii="Times New Roman" w:hAnsi="Times New Roman"/>
                <w:color w:val="auto"/>
                <w:kern w:val="0"/>
              </w:rPr>
              <w:t>不开挖其塔基，以减轻对周围土壤和植被的影响。工程拆除的</w:t>
            </w:r>
            <w:r>
              <w:rPr>
                <w:rFonts w:hint="eastAsia" w:ascii="Times New Roman" w:hAnsi="Times New Roman"/>
                <w:color w:val="auto"/>
                <w:kern w:val="0"/>
                <w:lang w:eastAsia="zh-CN"/>
              </w:rPr>
              <w:t>杆塔、导线</w:t>
            </w:r>
            <w:r>
              <w:rPr>
                <w:rFonts w:hint="eastAsia" w:ascii="Times New Roman" w:hAnsi="Times New Roman"/>
                <w:color w:val="auto"/>
                <w:kern w:val="0"/>
              </w:rPr>
              <w:t>和</w:t>
            </w:r>
            <w:r>
              <w:rPr>
                <w:rFonts w:ascii="Times New Roman" w:hAnsi="Times New Roman"/>
                <w:color w:val="auto"/>
                <w:kern w:val="0"/>
              </w:rPr>
              <w:t>绝缘子串</w:t>
            </w:r>
            <w:r>
              <w:rPr>
                <w:rFonts w:hint="eastAsia" w:ascii="Times New Roman" w:hAnsi="Times New Roman"/>
                <w:color w:val="auto"/>
                <w:kern w:val="0"/>
              </w:rPr>
              <w:t>等</w:t>
            </w:r>
            <w:r>
              <w:rPr>
                <w:rFonts w:ascii="Times New Roman" w:hAnsi="Times New Roman"/>
                <w:color w:val="auto"/>
                <w:kern w:val="0"/>
              </w:rPr>
              <w:t>金具等材料就近堆放在塔基附近并做好临时防护，交由海南电网有限责任公司</w:t>
            </w:r>
            <w:r>
              <w:rPr>
                <w:rFonts w:hint="eastAsia" w:ascii="Times New Roman" w:hAnsi="Times New Roman"/>
                <w:color w:val="auto"/>
                <w:kern w:val="0"/>
                <w:lang w:eastAsia="zh-CN"/>
              </w:rPr>
              <w:t>物资部门</w:t>
            </w:r>
            <w:r>
              <w:rPr>
                <w:rFonts w:ascii="Times New Roman" w:hAnsi="Times New Roman"/>
                <w:color w:val="auto"/>
                <w:kern w:val="0"/>
              </w:rPr>
              <w:t>委托专业单位分类回收并处理，不随意丢弃，对周边环境影响较小。</w:t>
            </w:r>
          </w:p>
          <w:p>
            <w:pPr>
              <w:spacing w:line="360" w:lineRule="auto"/>
              <w:ind w:firstLine="420" w:firstLineChars="200"/>
              <w:rPr>
                <w:rFonts w:ascii="Times New Roman" w:hAnsi="Times New Roman"/>
                <w:color w:val="auto"/>
              </w:rPr>
            </w:pPr>
            <w:r>
              <w:rPr>
                <w:rFonts w:ascii="Times New Roman" w:hAnsi="Times New Roman"/>
                <w:color w:val="auto"/>
              </w:rPr>
              <w:t>（</w:t>
            </w:r>
            <w:r>
              <w:rPr>
                <w:rFonts w:hint="eastAsia" w:ascii="Times New Roman" w:hAnsi="Times New Roman"/>
                <w:color w:val="auto"/>
              </w:rPr>
              <w:t>5</w:t>
            </w:r>
            <w:r>
              <w:rPr>
                <w:rFonts w:ascii="Times New Roman" w:hAnsi="Times New Roman"/>
                <w:color w:val="auto"/>
              </w:rPr>
              <w:t>）生态环境</w:t>
            </w:r>
          </w:p>
          <w:p>
            <w:pPr>
              <w:spacing w:line="360" w:lineRule="auto"/>
              <w:ind w:firstLine="420" w:firstLineChars="200"/>
              <w:rPr>
                <w:rFonts w:hint="eastAsia" w:ascii="Times New Roman" w:hAnsi="Times New Roman"/>
                <w:color w:val="auto"/>
                <w:kern w:val="0"/>
              </w:rPr>
            </w:pPr>
            <w:r>
              <w:rPr>
                <w:rFonts w:ascii="Times New Roman" w:hAnsi="Times New Roman"/>
                <w:color w:val="auto"/>
              </w:rPr>
              <w:t>施工期对生态环境的影响主要</w:t>
            </w:r>
            <w:r>
              <w:rPr>
                <w:rFonts w:hint="eastAsia" w:ascii="Times New Roman" w:hAnsi="Times New Roman"/>
                <w:color w:val="auto"/>
              </w:rPr>
              <w:t>表现</w:t>
            </w:r>
            <w:r>
              <w:rPr>
                <w:rFonts w:ascii="Times New Roman" w:hAnsi="Times New Roman"/>
                <w:color w:val="auto"/>
              </w:rPr>
              <w:t>为</w:t>
            </w:r>
            <w:r>
              <w:rPr>
                <w:rFonts w:hint="eastAsia" w:ascii="Times New Roman" w:hAnsi="Times New Roman"/>
                <w:color w:val="auto"/>
                <w:kern w:val="0"/>
              </w:rPr>
              <w:t>施工时的临时占地</w:t>
            </w:r>
            <w:r>
              <w:rPr>
                <w:rFonts w:hint="eastAsia" w:ascii="Times New Roman" w:hAnsi="Times New Roman"/>
                <w:color w:val="auto"/>
              </w:rPr>
              <w:t>、植被破坏、水土流失等。</w:t>
            </w:r>
            <w:r>
              <w:rPr>
                <w:rFonts w:ascii="Times New Roman" w:hAnsi="Times New Roman"/>
                <w:color w:val="auto"/>
              </w:rPr>
              <w:t>工程的临时占地主要为施工期临时便道、跨越施工场等</w:t>
            </w:r>
            <w:r>
              <w:rPr>
                <w:rFonts w:hint="eastAsia" w:ascii="Times New Roman" w:hAnsi="Times New Roman"/>
                <w:color w:val="auto"/>
              </w:rPr>
              <w:t>，地基开挖将破坏施工区域的原有植被、使土层裸露，容易导致水土流失。输电线路</w:t>
            </w:r>
            <w:r>
              <w:rPr>
                <w:rFonts w:hint="eastAsia" w:ascii="Times New Roman" w:hAnsi="Times New Roman"/>
                <w:color w:val="auto"/>
                <w:kern w:val="0"/>
              </w:rPr>
              <w:t>施工完毕后，场地将进行清理平整，周围的空地都将进行绿化。</w:t>
            </w:r>
          </w:p>
          <w:p>
            <w:pPr>
              <w:spacing w:line="360" w:lineRule="auto"/>
              <w:ind w:firstLine="420" w:firstLineChars="200"/>
              <w:rPr>
                <w:rFonts w:hint="eastAsia" w:ascii="Times New Roman" w:hAnsi="Times New Roman"/>
                <w:color w:val="auto"/>
                <w:kern w:val="0"/>
              </w:rPr>
            </w:pPr>
            <w:r>
              <w:rPr>
                <w:rFonts w:ascii="Times New Roman" w:hAnsi="Times New Roman"/>
                <w:snapToGrid w:val="0"/>
                <w:color w:val="auto"/>
                <w:szCs w:val="20"/>
              </w:rPr>
              <w:t>输电线路</w:t>
            </w:r>
            <w:r>
              <w:rPr>
                <w:rFonts w:hint="eastAsia" w:ascii="Times New Roman" w:hAnsi="Times New Roman"/>
                <w:snapToGrid w:val="0"/>
                <w:color w:val="auto"/>
                <w:szCs w:val="20"/>
              </w:rPr>
              <w:t>穿越</w:t>
            </w:r>
            <w:r>
              <w:rPr>
                <w:rFonts w:ascii="Times New Roman" w:hAnsi="Times New Roman"/>
                <w:snapToGrid w:val="0"/>
                <w:color w:val="auto"/>
                <w:szCs w:val="20"/>
              </w:rPr>
              <w:t>海南省陆域生态保护红线区中的</w:t>
            </w:r>
            <w:r>
              <w:rPr>
                <w:rFonts w:hint="eastAsia" w:ascii="Times New Roman" w:hAnsi="Times New Roman"/>
                <w:snapToGrid w:val="0"/>
                <w:color w:val="auto"/>
                <w:szCs w:val="20"/>
              </w:rPr>
              <w:t>水源保护与水源涵养</w:t>
            </w:r>
            <w:r>
              <w:rPr>
                <w:rFonts w:hint="eastAsia" w:ascii="Times New Roman" w:hAnsi="Times New Roman"/>
                <w:snapToGrid w:val="0"/>
                <w:color w:val="auto"/>
                <w:szCs w:val="20"/>
                <w:lang w:eastAsia="zh-CN"/>
              </w:rPr>
              <w:t>Ⅱ</w:t>
            </w:r>
            <w:r>
              <w:rPr>
                <w:rFonts w:hint="eastAsia" w:ascii="Times New Roman" w:hAnsi="Times New Roman"/>
                <w:snapToGrid w:val="0"/>
                <w:color w:val="auto"/>
                <w:szCs w:val="20"/>
              </w:rPr>
              <w:t>类红线区、生物多样性保护</w:t>
            </w:r>
            <w:r>
              <w:rPr>
                <w:rFonts w:hint="eastAsia" w:ascii="Times New Roman" w:hAnsi="Times New Roman"/>
                <w:snapToGrid w:val="0"/>
                <w:color w:val="auto"/>
                <w:szCs w:val="20"/>
                <w:lang w:eastAsia="zh-CN"/>
              </w:rPr>
              <w:t>Ⅱ</w:t>
            </w:r>
            <w:r>
              <w:rPr>
                <w:rFonts w:hint="eastAsia" w:ascii="Times New Roman" w:hAnsi="Times New Roman"/>
                <w:snapToGrid w:val="0"/>
                <w:color w:val="auto"/>
                <w:szCs w:val="20"/>
              </w:rPr>
              <w:t>类红线区</w:t>
            </w:r>
            <w:r>
              <w:rPr>
                <w:rFonts w:hint="eastAsia" w:ascii="Times New Roman" w:hAnsi="Times New Roman"/>
                <w:snapToGrid w:val="0"/>
                <w:color w:val="auto"/>
                <w:szCs w:val="20"/>
                <w:lang w:eastAsia="zh-CN"/>
              </w:rPr>
              <w:t>、南渡江龙塘饮用水水源保护区</w:t>
            </w:r>
            <w:r>
              <w:rPr>
                <w:rFonts w:hint="eastAsia" w:ascii="Times New Roman" w:hAnsi="Times New Roman"/>
                <w:color w:val="auto"/>
                <w:lang w:eastAsia="zh-CN"/>
              </w:rPr>
              <w:t>和新旧沟湿地乡村公园（新旧沟湿地保护小区）</w:t>
            </w:r>
            <w:r>
              <w:rPr>
                <w:rFonts w:ascii="Times New Roman" w:hAnsi="Times New Roman"/>
                <w:snapToGrid w:val="0"/>
                <w:color w:val="auto"/>
                <w:szCs w:val="20"/>
              </w:rPr>
              <w:t>，临时占地选择远离生态保护红线区域</w:t>
            </w:r>
            <w:r>
              <w:rPr>
                <w:rFonts w:hint="eastAsia" w:ascii="Times New Roman" w:hAnsi="Times New Roman"/>
                <w:snapToGrid w:val="0"/>
                <w:color w:val="auto"/>
                <w:szCs w:val="20"/>
                <w:lang w:eastAsia="zh-CN"/>
              </w:rPr>
              <w:t>、饮用水源水源保护区和湿地公园内</w:t>
            </w:r>
            <w:r>
              <w:rPr>
                <w:rFonts w:ascii="Times New Roman" w:hAnsi="Times New Roman"/>
                <w:snapToGrid w:val="0"/>
                <w:color w:val="auto"/>
                <w:szCs w:val="20"/>
              </w:rPr>
              <w:t>，在</w:t>
            </w:r>
            <w:r>
              <w:rPr>
                <w:rFonts w:hint="eastAsia" w:ascii="Times New Roman" w:hAnsi="Times New Roman"/>
                <w:snapToGrid w:val="0"/>
                <w:color w:val="auto"/>
                <w:szCs w:val="20"/>
                <w:lang w:eastAsia="zh-CN"/>
              </w:rPr>
              <w:t>这些区域</w:t>
            </w:r>
            <w:r>
              <w:rPr>
                <w:rFonts w:ascii="Times New Roman" w:hAnsi="Times New Roman"/>
                <w:snapToGrid w:val="0"/>
                <w:color w:val="auto"/>
                <w:szCs w:val="20"/>
              </w:rPr>
              <w:t>外中转堆放材料设备，缩小作业区；施工道路利用周边已有道路，不再进行施工便道修建；施工期产生的固废在保护红线区</w:t>
            </w:r>
            <w:r>
              <w:rPr>
                <w:rFonts w:hint="eastAsia" w:ascii="Times New Roman" w:hAnsi="Times New Roman"/>
                <w:snapToGrid w:val="0"/>
                <w:color w:val="auto"/>
                <w:szCs w:val="20"/>
                <w:lang w:eastAsia="zh-CN"/>
              </w:rPr>
              <w:t>、水源保护区及湿地公园</w:t>
            </w:r>
            <w:r>
              <w:rPr>
                <w:rFonts w:ascii="Times New Roman" w:hAnsi="Times New Roman"/>
                <w:snapToGrid w:val="0"/>
                <w:color w:val="auto"/>
                <w:szCs w:val="20"/>
              </w:rPr>
              <w:t>外集中堆放，委托当地环卫部门集中清运，禁止在</w:t>
            </w:r>
            <w:r>
              <w:rPr>
                <w:rFonts w:hint="eastAsia" w:ascii="Times New Roman" w:hAnsi="Times New Roman"/>
                <w:snapToGrid w:val="0"/>
                <w:color w:val="auto"/>
                <w:szCs w:val="20"/>
              </w:rPr>
              <w:t>保护</w:t>
            </w:r>
            <w:r>
              <w:rPr>
                <w:rFonts w:ascii="Times New Roman" w:hAnsi="Times New Roman"/>
                <w:snapToGrid w:val="0"/>
                <w:color w:val="auto"/>
                <w:szCs w:val="20"/>
              </w:rPr>
              <w:t>红线区</w:t>
            </w:r>
            <w:r>
              <w:rPr>
                <w:rFonts w:hint="eastAsia" w:ascii="Times New Roman" w:hAnsi="Times New Roman"/>
                <w:snapToGrid w:val="0"/>
                <w:color w:val="auto"/>
                <w:szCs w:val="20"/>
                <w:lang w:eastAsia="zh-CN"/>
              </w:rPr>
              <w:t>、水源保护区及湿地公园</w:t>
            </w:r>
            <w:r>
              <w:rPr>
                <w:rFonts w:ascii="Times New Roman" w:hAnsi="Times New Roman"/>
                <w:snapToGrid w:val="0"/>
                <w:color w:val="auto"/>
                <w:szCs w:val="20"/>
              </w:rPr>
              <w:t>和</w:t>
            </w:r>
            <w:r>
              <w:rPr>
                <w:rFonts w:hint="eastAsia" w:ascii="Times New Roman" w:hAnsi="Times New Roman"/>
                <w:snapToGrid w:val="0"/>
                <w:color w:val="auto"/>
                <w:szCs w:val="20"/>
              </w:rPr>
              <w:t>邻近水</w:t>
            </w:r>
            <w:r>
              <w:rPr>
                <w:rFonts w:hint="eastAsia" w:ascii="Times New Roman" w:hAnsi="Times New Roman"/>
                <w:snapToGrid w:val="0"/>
                <w:color w:val="auto"/>
                <w:szCs w:val="20"/>
                <w:lang w:eastAsia="zh-CN"/>
              </w:rPr>
              <w:t>体</w:t>
            </w:r>
            <w:r>
              <w:rPr>
                <w:rFonts w:ascii="Times New Roman" w:hAnsi="Times New Roman"/>
                <w:snapToGrid w:val="0"/>
                <w:color w:val="auto"/>
                <w:szCs w:val="20"/>
              </w:rPr>
              <w:t>内乱堆弃土；施工现场车辆低速慢行，定期洒水减少施工扬尘。</w:t>
            </w:r>
          </w:p>
          <w:p>
            <w:pPr>
              <w:spacing w:line="360" w:lineRule="auto"/>
              <w:ind w:firstLine="420" w:firstLineChars="200"/>
              <w:rPr>
                <w:rFonts w:hint="eastAsia" w:ascii="Times New Roman" w:hAnsi="Times New Roman"/>
                <w:color w:val="auto"/>
              </w:rPr>
            </w:pPr>
            <w:r>
              <w:rPr>
                <w:rFonts w:hint="eastAsia" w:ascii="Times New Roman" w:hAnsi="Times New Roman"/>
                <w:color w:val="auto"/>
              </w:rPr>
              <w:t>为减少施工期临时占地对生态的破坏，工程在施工时需制定合理的施工工期，避开雨季土建施工，对土建施工场地采取围挡、遮盖的措施，避免由于风、雨天气可能造成的风蚀和水蚀。施工前合理确定施工区域，塔基施工材料堆放场及施工作业面、塔基临时堆土、牵张场应尽量利用空地或荒地，减少植被破坏。加强文明施工，施工结束后开挖土方及时回填，多余土方需要委托相关部门运至堆土指定位置。</w:t>
            </w:r>
          </w:p>
          <w:p>
            <w:pPr>
              <w:spacing w:line="360" w:lineRule="auto"/>
              <w:rPr>
                <w:rFonts w:ascii="Times New Roman" w:hAnsi="Times New Roman"/>
                <w:b/>
                <w:color w:val="auto"/>
              </w:rPr>
            </w:pPr>
            <w:r>
              <w:rPr>
                <w:rFonts w:ascii="Times New Roman" w:hAnsi="Times New Roman"/>
                <w:b/>
                <w:color w:val="auto"/>
              </w:rPr>
              <w:t>2运营期</w:t>
            </w:r>
          </w:p>
          <w:p>
            <w:pPr>
              <w:spacing w:line="360" w:lineRule="auto"/>
              <w:ind w:firstLine="420" w:firstLineChars="200"/>
              <w:rPr>
                <w:rFonts w:ascii="Times New Roman" w:hAnsi="Times New Roman"/>
                <w:color w:val="auto"/>
              </w:rPr>
            </w:pPr>
            <w:r>
              <w:rPr>
                <w:rFonts w:ascii="Times New Roman" w:hAnsi="Times New Roman"/>
                <w:color w:val="auto"/>
              </w:rPr>
              <w:t>（1）电磁影响</w:t>
            </w:r>
          </w:p>
          <w:p>
            <w:pPr>
              <w:spacing w:line="360" w:lineRule="auto"/>
              <w:ind w:firstLine="420" w:firstLineChars="200"/>
              <w:rPr>
                <w:rFonts w:hint="eastAsia" w:ascii="Times New Roman" w:hAnsi="Times New Roman"/>
                <w:color w:val="auto"/>
              </w:rPr>
            </w:pPr>
            <w:r>
              <w:rPr>
                <w:rFonts w:hint="eastAsia" w:ascii="Times New Roman" w:hAnsi="Times New Roman"/>
                <w:color w:val="auto"/>
              </w:rPr>
              <w:t>22</w:t>
            </w:r>
            <w:r>
              <w:rPr>
                <w:rFonts w:ascii="Times New Roman" w:hAnsi="Times New Roman"/>
                <w:color w:val="auto"/>
              </w:rPr>
              <w:t>0kV输电线路在运行过程中，电流在导线中的流动会使输电线路周围一定范围产生一定强度的工频电场、工频磁场</w:t>
            </w:r>
            <w:r>
              <w:rPr>
                <w:rFonts w:hint="eastAsia" w:ascii="Times New Roman" w:hAnsi="Times New Roman"/>
                <w:color w:val="auto"/>
              </w:rPr>
              <w:t>。</w:t>
            </w:r>
          </w:p>
          <w:p>
            <w:pPr>
              <w:tabs>
                <w:tab w:val="left" w:pos="2100"/>
              </w:tabs>
              <w:spacing w:line="360" w:lineRule="auto"/>
              <w:ind w:firstLine="420" w:firstLineChars="200"/>
              <w:rPr>
                <w:rFonts w:ascii="Times New Roman" w:hAnsi="Times New Roman"/>
                <w:color w:val="auto"/>
              </w:rPr>
            </w:pPr>
            <w:r>
              <w:rPr>
                <w:rFonts w:ascii="Times New Roman" w:hAnsi="Times New Roman"/>
                <w:color w:val="auto"/>
              </w:rPr>
              <w:t>（2）噪声</w:t>
            </w:r>
            <w:r>
              <w:rPr>
                <w:rFonts w:ascii="Times New Roman" w:hAnsi="Times New Roman"/>
                <w:color w:val="auto"/>
              </w:rPr>
              <w:tab/>
            </w:r>
          </w:p>
          <w:p>
            <w:pPr>
              <w:spacing w:line="360" w:lineRule="auto"/>
              <w:ind w:firstLine="420" w:firstLineChars="200"/>
              <w:rPr>
                <w:rFonts w:hint="eastAsia" w:ascii="Times New Roman" w:hAnsi="Times New Roman"/>
                <w:color w:val="auto"/>
              </w:rPr>
            </w:pPr>
            <w:r>
              <w:rPr>
                <w:rFonts w:hint="eastAsia" w:ascii="Times New Roman" w:hAnsi="Times New Roman"/>
                <w:color w:val="auto"/>
              </w:rPr>
              <w:t>22</w:t>
            </w:r>
            <w:r>
              <w:rPr>
                <w:rFonts w:ascii="Times New Roman" w:hAnsi="Times New Roman"/>
                <w:color w:val="auto"/>
              </w:rPr>
              <w:t>0kV</w:t>
            </w:r>
            <w:r>
              <w:rPr>
                <w:rFonts w:hint="eastAsia" w:ascii="Times New Roman" w:hAnsi="Times New Roman"/>
                <w:color w:val="auto"/>
              </w:rPr>
              <w:t>输电</w:t>
            </w:r>
            <w:r>
              <w:rPr>
                <w:rFonts w:ascii="Times New Roman" w:hAnsi="Times New Roman"/>
                <w:color w:val="auto"/>
              </w:rPr>
              <w:t>线路运行，对周围的声环境影响很小。</w:t>
            </w:r>
          </w:p>
          <w:p>
            <w:pPr>
              <w:spacing w:line="360" w:lineRule="auto"/>
              <w:ind w:firstLine="420" w:firstLineChars="200"/>
              <w:rPr>
                <w:rFonts w:ascii="Times New Roman" w:hAnsi="Times New Roman"/>
                <w:color w:val="auto"/>
              </w:rPr>
            </w:pPr>
            <w:r>
              <w:rPr>
                <w:rFonts w:ascii="Times New Roman" w:hAnsi="Times New Roman"/>
                <w:color w:val="auto"/>
              </w:rPr>
              <w:t>（3）废水</w:t>
            </w:r>
          </w:p>
          <w:p>
            <w:pPr>
              <w:spacing w:line="360" w:lineRule="auto"/>
              <w:ind w:firstLine="420" w:firstLineChars="200"/>
              <w:rPr>
                <w:rFonts w:hint="eastAsia" w:ascii="Times New Roman" w:hAnsi="Times New Roman"/>
                <w:color w:val="auto"/>
              </w:rPr>
            </w:pPr>
            <w:r>
              <w:rPr>
                <w:rFonts w:hint="eastAsia" w:ascii="Times New Roman" w:hAnsi="Times New Roman"/>
                <w:color w:val="auto"/>
                <w:kern w:val="0"/>
              </w:rPr>
              <w:t>22</w:t>
            </w:r>
            <w:r>
              <w:rPr>
                <w:rFonts w:ascii="Times New Roman" w:hAnsi="Times New Roman"/>
                <w:color w:val="auto"/>
                <w:kern w:val="0"/>
              </w:rPr>
              <w:t>0kV</w:t>
            </w:r>
            <w:r>
              <w:rPr>
                <w:rFonts w:hint="eastAsia" w:ascii="Times New Roman" w:hAnsi="Times New Roman"/>
                <w:color w:val="auto"/>
              </w:rPr>
              <w:t>输电</w:t>
            </w:r>
            <w:r>
              <w:rPr>
                <w:rFonts w:hint="eastAsia" w:ascii="Times New Roman" w:hAnsi="Times New Roman"/>
                <w:color w:val="auto"/>
                <w:kern w:val="0"/>
              </w:rPr>
              <w:t>线路运行过程中，没有水污染产生</w:t>
            </w:r>
            <w:r>
              <w:rPr>
                <w:rFonts w:hint="eastAsia" w:ascii="Times New Roman" w:hAnsi="Times New Roman"/>
                <w:color w:val="auto"/>
              </w:rPr>
              <w:t>。</w:t>
            </w:r>
          </w:p>
          <w:p>
            <w:pPr>
              <w:spacing w:line="360" w:lineRule="auto"/>
              <w:ind w:firstLine="420" w:firstLineChars="200"/>
              <w:rPr>
                <w:rFonts w:ascii="Times New Roman" w:hAnsi="Times New Roman"/>
                <w:color w:val="auto"/>
              </w:rPr>
            </w:pPr>
            <w:r>
              <w:rPr>
                <w:rFonts w:ascii="Times New Roman" w:hAnsi="Times New Roman"/>
                <w:color w:val="auto"/>
              </w:rPr>
              <w:t>（4）固体废物</w:t>
            </w:r>
          </w:p>
          <w:p>
            <w:pPr>
              <w:spacing w:line="360" w:lineRule="auto"/>
              <w:ind w:firstLine="420"/>
              <w:rPr>
                <w:rFonts w:hint="eastAsia" w:ascii="Times New Roman" w:hAnsi="Times New Roman"/>
                <w:color w:val="auto"/>
                <w:kern w:val="0"/>
              </w:rPr>
            </w:pPr>
            <w:r>
              <w:rPr>
                <w:rFonts w:hint="eastAsia" w:ascii="Times New Roman" w:hAnsi="Times New Roman"/>
                <w:color w:val="auto"/>
                <w:kern w:val="0"/>
              </w:rPr>
              <w:t>22</w:t>
            </w:r>
            <w:r>
              <w:rPr>
                <w:rFonts w:ascii="Times New Roman" w:hAnsi="Times New Roman"/>
                <w:color w:val="auto"/>
                <w:kern w:val="0"/>
              </w:rPr>
              <w:t>0kV</w:t>
            </w:r>
            <w:r>
              <w:rPr>
                <w:rFonts w:hint="eastAsia" w:ascii="Times New Roman" w:hAnsi="Times New Roman"/>
                <w:color w:val="auto"/>
                <w:kern w:val="0"/>
              </w:rPr>
              <w:t>架空线路运行过程中，没有</w:t>
            </w:r>
            <w:r>
              <w:rPr>
                <w:rFonts w:ascii="Times New Roman" w:hAnsi="Times New Roman"/>
                <w:color w:val="auto"/>
              </w:rPr>
              <w:t>固体废物</w:t>
            </w:r>
            <w:r>
              <w:rPr>
                <w:rFonts w:hint="eastAsia" w:ascii="Times New Roman" w:hAnsi="Times New Roman"/>
                <w:color w:val="auto"/>
              </w:rPr>
              <w:t>产生</w:t>
            </w:r>
            <w:r>
              <w:rPr>
                <w:rFonts w:hint="eastAsia" w:ascii="Times New Roman" w:hAnsi="Times New Roman"/>
                <w:color w:val="auto"/>
                <w:kern w:val="0"/>
              </w:rPr>
              <w:t>。</w:t>
            </w:r>
          </w:p>
          <w:p>
            <w:pPr>
              <w:spacing w:line="360" w:lineRule="auto"/>
              <w:ind w:firstLine="420" w:firstLineChars="200"/>
              <w:rPr>
                <w:rFonts w:ascii="Times New Roman" w:hAnsi="Times New Roman"/>
                <w:color w:val="auto"/>
              </w:rPr>
            </w:pPr>
            <w:r>
              <w:rPr>
                <w:rFonts w:ascii="Times New Roman" w:hAnsi="Times New Roman"/>
                <w:color w:val="auto"/>
              </w:rPr>
              <w:t>（5）环境空气</w:t>
            </w:r>
          </w:p>
          <w:p>
            <w:pPr>
              <w:spacing w:line="360" w:lineRule="auto"/>
              <w:ind w:firstLine="420" w:firstLineChars="200"/>
              <w:rPr>
                <w:rFonts w:ascii="Times New Roman" w:hAnsi="Times New Roman"/>
                <w:color w:val="auto"/>
              </w:rPr>
            </w:pPr>
            <w:r>
              <w:rPr>
                <w:rFonts w:hint="eastAsia" w:ascii="Times New Roman" w:hAnsi="Times New Roman"/>
                <w:color w:val="auto"/>
                <w:kern w:val="0"/>
              </w:rPr>
              <w:t>22</w:t>
            </w:r>
            <w:r>
              <w:rPr>
                <w:rFonts w:ascii="Times New Roman" w:hAnsi="Times New Roman"/>
                <w:color w:val="auto"/>
                <w:kern w:val="0"/>
              </w:rPr>
              <w:t>0kV</w:t>
            </w:r>
            <w:r>
              <w:rPr>
                <w:rFonts w:hint="eastAsia" w:ascii="Times New Roman" w:hAnsi="Times New Roman"/>
                <w:color w:val="auto"/>
              </w:rPr>
              <w:t>输</w:t>
            </w:r>
            <w:r>
              <w:rPr>
                <w:rFonts w:ascii="Times New Roman" w:hAnsi="Times New Roman"/>
                <w:color w:val="auto"/>
              </w:rPr>
              <w:t>电线路运行不产生环境空气污染物。</w:t>
            </w:r>
          </w:p>
          <w:p>
            <w:pPr>
              <w:spacing w:line="360" w:lineRule="auto"/>
              <w:ind w:firstLine="420" w:firstLineChars="200"/>
              <w:rPr>
                <w:rFonts w:ascii="Times New Roman" w:hAnsi="Times New Roman"/>
                <w:color w:val="auto"/>
              </w:rPr>
            </w:pPr>
            <w:r>
              <w:rPr>
                <w:rFonts w:ascii="Times New Roman" w:hAnsi="Times New Roman"/>
                <w:color w:val="auto"/>
              </w:rPr>
              <w:t>（</w:t>
            </w:r>
            <w:r>
              <w:rPr>
                <w:rFonts w:hint="eastAsia" w:ascii="Times New Roman" w:hAnsi="Times New Roman"/>
                <w:color w:val="auto"/>
              </w:rPr>
              <w:t>6）工程占地及景观破坏</w:t>
            </w:r>
          </w:p>
          <w:p>
            <w:pPr>
              <w:spacing w:line="360" w:lineRule="auto"/>
              <w:ind w:firstLine="420" w:firstLineChars="200"/>
              <w:rPr>
                <w:rFonts w:ascii="Times New Roman" w:hAnsi="Times New Roman"/>
                <w:color w:val="auto"/>
              </w:rPr>
            </w:pPr>
            <w:r>
              <w:rPr>
                <w:rFonts w:ascii="Times New Roman" w:hAnsi="Times New Roman"/>
                <w:color w:val="auto"/>
              </w:rPr>
              <w:t>本工程建成后，主要是塔基处的永久占地对土地占用的影响</w:t>
            </w:r>
            <w:r>
              <w:rPr>
                <w:rFonts w:hint="eastAsia" w:ascii="Times New Roman" w:hAnsi="Times New Roman"/>
                <w:color w:val="auto"/>
              </w:rPr>
              <w:t>，及架空线路对沿线视觉景观的破坏。本工程线路位于</w:t>
            </w:r>
            <w:r>
              <w:rPr>
                <w:rFonts w:hint="eastAsia" w:ascii="Times New Roman" w:hAnsi="Times New Roman"/>
                <w:color w:val="auto"/>
                <w:lang w:eastAsia="zh-CN"/>
              </w:rPr>
              <w:t>海口市龙华区、琼山区及美兰区</w:t>
            </w:r>
            <w:r>
              <w:rPr>
                <w:rFonts w:hint="eastAsia" w:ascii="Times New Roman" w:hAnsi="Times New Roman"/>
                <w:color w:val="auto"/>
              </w:rPr>
              <w:t>和</w:t>
            </w:r>
            <w:r>
              <w:rPr>
                <w:rFonts w:hint="eastAsia" w:ascii="Times New Roman" w:hAnsi="Times New Roman"/>
                <w:color w:val="auto"/>
                <w:lang w:eastAsia="zh-CN"/>
              </w:rPr>
              <w:t>文昌市东路镇</w:t>
            </w:r>
            <w:r>
              <w:rPr>
                <w:rFonts w:hint="eastAsia" w:ascii="Times New Roman" w:hAnsi="Times New Roman"/>
                <w:color w:val="auto"/>
              </w:rPr>
              <w:t>境内，线路塔基永久占地面积约</w:t>
            </w:r>
            <w:r>
              <w:rPr>
                <w:rFonts w:hint="eastAsia" w:ascii="Times New Roman" w:hAnsi="Times New Roman"/>
                <w:color w:val="auto"/>
                <w:lang w:val="en-US" w:eastAsia="zh-CN"/>
              </w:rPr>
              <w:t>13200</w:t>
            </w:r>
            <w:r>
              <w:rPr>
                <w:rFonts w:hint="eastAsia" w:ascii="Times New Roman" w:hAnsi="Times New Roman"/>
                <w:color w:val="auto"/>
              </w:rPr>
              <w:t>m</w:t>
            </w:r>
            <w:r>
              <w:rPr>
                <w:rFonts w:hint="eastAsia" w:ascii="Times New Roman" w:hAnsi="Times New Roman"/>
                <w:color w:val="auto"/>
                <w:vertAlign w:val="superscript"/>
              </w:rPr>
              <w:t>2</w:t>
            </w:r>
            <w:r>
              <w:rPr>
                <w:rFonts w:hint="eastAsia" w:ascii="Times New Roman" w:hAnsi="Times New Roman"/>
                <w:color w:val="auto"/>
              </w:rPr>
              <w:t>。</w:t>
            </w:r>
            <w:r>
              <w:rPr>
                <w:rFonts w:ascii="Times New Roman" w:hAnsi="Times New Roman"/>
                <w:color w:val="auto"/>
              </w:rPr>
              <w:t>全线</w:t>
            </w:r>
            <w:r>
              <w:rPr>
                <w:rFonts w:hint="eastAsia" w:ascii="Times New Roman" w:hAnsi="Times New Roman"/>
                <w:color w:val="auto"/>
              </w:rPr>
              <w:t>新建</w:t>
            </w:r>
            <w:r>
              <w:rPr>
                <w:rFonts w:hint="eastAsia" w:ascii="Times New Roman" w:hAnsi="Times New Roman"/>
                <w:color w:val="auto"/>
                <w:lang w:eastAsia="zh-CN"/>
              </w:rPr>
              <w:t>线路</w:t>
            </w:r>
            <w:r>
              <w:rPr>
                <w:rFonts w:ascii="Times New Roman" w:hAnsi="Times New Roman"/>
                <w:color w:val="auto"/>
                <w:szCs w:val="20"/>
              </w:rPr>
              <w:t>以平地为主，在南渡江两岸和东路镇东路变电站北侧线路沿线有部分泥沼。沿线植被主要有</w:t>
            </w:r>
            <w:r>
              <w:rPr>
                <w:rFonts w:hint="default" w:ascii="Times New Roman" w:hAnsi="Times New Roman" w:cs="Times New Roman"/>
                <w:color w:val="auto"/>
                <w:sz w:val="21"/>
                <w:szCs w:val="21"/>
              </w:rPr>
              <w:t>多以种植水稻、蔬菜为主，局部开挖成鱼塘</w:t>
            </w:r>
            <w:r>
              <w:rPr>
                <w:rFonts w:ascii="Times New Roman" w:hAnsi="Times New Roman"/>
                <w:color w:val="auto"/>
                <w:szCs w:val="20"/>
              </w:rPr>
              <w:t>，</w:t>
            </w:r>
            <w:r>
              <w:rPr>
                <w:rFonts w:hint="default" w:ascii="Times New Roman" w:hAnsi="Times New Roman" w:cs="Times New Roman"/>
                <w:color w:val="auto"/>
                <w:sz w:val="21"/>
                <w:szCs w:val="21"/>
              </w:rPr>
              <w:t>多种植有橡胶、椰子、芒果、荔枝、菠萝密、咖啡、黄皮、莲雾、槟榔等经济作物</w:t>
            </w:r>
            <w:r>
              <w:rPr>
                <w:rFonts w:ascii="Times New Roman" w:hAnsi="Times New Roman"/>
                <w:color w:val="auto"/>
              </w:rPr>
              <w:t>。</w:t>
            </w:r>
            <w:r>
              <w:rPr>
                <w:rFonts w:hint="eastAsia" w:ascii="Times New Roman" w:hAnsi="Times New Roman"/>
                <w:color w:val="auto"/>
              </w:rPr>
              <w:t>本工程</w:t>
            </w:r>
            <w:r>
              <w:rPr>
                <w:rFonts w:hint="eastAsia" w:ascii="Times New Roman" w:hAnsi="Times New Roman"/>
                <w:color w:val="auto"/>
                <w:lang w:eastAsia="zh-CN"/>
              </w:rPr>
              <w:t>线路</w:t>
            </w:r>
            <w:r>
              <w:rPr>
                <w:rFonts w:hint="eastAsia" w:ascii="Times New Roman" w:hAnsi="Times New Roman"/>
                <w:color w:val="auto"/>
              </w:rPr>
              <w:t>沿线基本无高大树木，</w:t>
            </w:r>
            <w:r>
              <w:rPr>
                <w:rFonts w:hint="eastAsia" w:ascii="Times New Roman" w:hAnsi="Times New Roman"/>
                <w:color w:val="auto"/>
                <w:lang w:eastAsia="zh-CN"/>
              </w:rPr>
              <w:t>可</w:t>
            </w:r>
            <w:r>
              <w:rPr>
                <w:rFonts w:hint="eastAsia" w:ascii="Times New Roman" w:hAnsi="Times New Roman"/>
                <w:color w:val="auto"/>
              </w:rPr>
              <w:t>采用高跨方式，保证对生态影响降到最低。架空塔基立塔处仅四角处占地，占地面积小，对当地自然生态系统影响有限。</w:t>
            </w:r>
            <w:r>
              <w:rPr>
                <w:rFonts w:ascii="Times New Roman" w:hAnsi="Times New Roman"/>
                <w:color w:val="auto"/>
              </w:rPr>
              <w:t>在施工结束后，须对</w:t>
            </w:r>
            <w:r>
              <w:rPr>
                <w:rFonts w:hint="eastAsia" w:ascii="Times New Roman" w:hAnsi="Times New Roman"/>
                <w:color w:val="auto"/>
              </w:rPr>
              <w:t>永久和</w:t>
            </w:r>
            <w:r>
              <w:rPr>
                <w:rFonts w:ascii="Times New Roman" w:hAnsi="Times New Roman"/>
                <w:color w:val="auto"/>
              </w:rPr>
              <w:t>临时用地地表的植被进行及时恢复</w:t>
            </w:r>
            <w:r>
              <w:rPr>
                <w:rFonts w:hint="eastAsia" w:ascii="Times New Roman" w:hAnsi="Times New Roman"/>
                <w:color w:val="auto"/>
              </w:rPr>
              <w:t>，</w:t>
            </w:r>
            <w:r>
              <w:rPr>
                <w:rFonts w:ascii="Times New Roman" w:hAnsi="Times New Roman"/>
                <w:color w:val="auto"/>
              </w:rPr>
              <w:t>通过</w:t>
            </w:r>
            <w:r>
              <w:rPr>
                <w:rFonts w:hint="eastAsia" w:ascii="Times New Roman" w:hAnsi="Times New Roman"/>
                <w:color w:val="auto"/>
              </w:rPr>
              <w:t>合理选择塔型和塔高、</w:t>
            </w:r>
            <w:r>
              <w:rPr>
                <w:rFonts w:ascii="Times New Roman" w:hAnsi="Times New Roman"/>
                <w:color w:val="auto"/>
              </w:rPr>
              <w:t>加强绿化等措施，</w:t>
            </w:r>
            <w:r>
              <w:rPr>
                <w:rFonts w:hint="eastAsia" w:ascii="Times New Roman" w:hAnsi="Times New Roman"/>
                <w:color w:val="auto"/>
              </w:rPr>
              <w:t>可</w:t>
            </w:r>
            <w:r>
              <w:rPr>
                <w:rFonts w:ascii="Times New Roman" w:hAnsi="Times New Roman"/>
                <w:color w:val="auto"/>
              </w:rPr>
              <w:t>进一步减小建成后可能带来的</w:t>
            </w:r>
            <w:r>
              <w:rPr>
                <w:rFonts w:hint="eastAsia" w:ascii="Times New Roman" w:hAnsi="Times New Roman"/>
                <w:color w:val="auto"/>
              </w:rPr>
              <w:t>景观</w:t>
            </w:r>
            <w:r>
              <w:rPr>
                <w:rFonts w:ascii="Times New Roman" w:hAnsi="Times New Roman"/>
                <w:color w:val="auto"/>
              </w:rPr>
              <w:t>影响。</w:t>
            </w: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ind w:firstLine="420" w:firstLineChars="200"/>
              <w:rPr>
                <w:rFonts w:hint="eastAsia" w:ascii="Times New Roman" w:hAnsi="Times New Roman"/>
                <w:color w:val="auto"/>
              </w:rPr>
            </w:pPr>
          </w:p>
          <w:p>
            <w:pPr>
              <w:spacing w:line="360" w:lineRule="auto"/>
              <w:rPr>
                <w:rFonts w:hint="eastAsia" w:ascii="Times New Roman" w:hAnsi="Times New Roman"/>
                <w:color w:val="auto"/>
              </w:rPr>
            </w:pPr>
          </w:p>
        </w:tc>
      </w:tr>
    </w:tbl>
    <w:p>
      <w:pPr>
        <w:rPr>
          <w:rFonts w:ascii="Times New Roman" w:hAnsi="Times New Roman"/>
          <w:color w:val="auto"/>
        </w:rPr>
      </w:pPr>
    </w:p>
    <w:p>
      <w:pPr>
        <w:outlineLvl w:val="0"/>
        <w:rPr>
          <w:rFonts w:ascii="Times New Roman" w:hAnsi="Times New Roman"/>
          <w:b/>
          <w:color w:val="auto"/>
          <w:sz w:val="28"/>
          <w:szCs w:val="28"/>
        </w:rPr>
      </w:pPr>
      <w:r>
        <w:rPr>
          <w:rFonts w:ascii="Times New Roman" w:hAnsi="Times New Roman"/>
          <w:color w:val="auto"/>
        </w:rPr>
        <w:br w:type="page"/>
      </w:r>
      <w:bookmarkStart w:id="29" w:name="_Toc339020807"/>
      <w:bookmarkStart w:id="30" w:name="_Toc522457752"/>
      <w:r>
        <w:rPr>
          <w:rFonts w:ascii="Times New Roman" w:hAnsi="Times New Roman"/>
          <w:b/>
          <w:color w:val="auto"/>
          <w:sz w:val="28"/>
          <w:szCs w:val="28"/>
        </w:rPr>
        <w:t>6项目主要污染物产生及预计排放情况</w:t>
      </w:r>
      <w:bookmarkEnd w:id="29"/>
      <w:bookmarkEnd w:id="30"/>
    </w:p>
    <w:tbl>
      <w:tblPr>
        <w:tblStyle w:val="50"/>
        <w:tblW w:w="87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2160"/>
        <w:gridCol w:w="1440"/>
        <w:gridCol w:w="2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080" w:type="dxa"/>
            <w:tcBorders>
              <w:top w:val="single" w:color="auto" w:sz="6" w:space="0"/>
              <w:bottom w:val="single" w:color="auto" w:sz="6" w:space="0"/>
              <w:right w:val="single" w:color="auto" w:sz="6" w:space="0"/>
              <w:tl2br w:val="single" w:color="auto" w:sz="6" w:space="0"/>
            </w:tcBorders>
            <w:vAlign w:val="center"/>
          </w:tcPr>
          <w:p>
            <w:pPr>
              <w:spacing w:line="240" w:lineRule="atLeast"/>
              <w:rPr>
                <w:rFonts w:ascii="Times New Roman" w:hAnsi="Times New Roman"/>
                <w:b/>
                <w:color w:val="auto"/>
                <w:szCs w:val="20"/>
              </w:rPr>
            </w:pPr>
            <w:r>
              <w:rPr>
                <w:rFonts w:ascii="Times New Roman" w:hAnsi="Times New Roman"/>
                <w:b/>
                <w:color w:val="auto"/>
                <w:szCs w:val="20"/>
              </w:rPr>
              <w:t xml:space="preserve">   内容</w:t>
            </w:r>
          </w:p>
          <w:p>
            <w:pPr>
              <w:spacing w:line="240" w:lineRule="atLeast"/>
              <w:rPr>
                <w:rFonts w:ascii="Times New Roman" w:hAnsi="Times New Roman"/>
                <w:b/>
                <w:color w:val="auto"/>
                <w:szCs w:val="20"/>
              </w:rPr>
            </w:pPr>
          </w:p>
          <w:p>
            <w:pPr>
              <w:spacing w:line="240" w:lineRule="atLeast"/>
              <w:rPr>
                <w:rFonts w:ascii="Times New Roman" w:hAnsi="Times New Roman"/>
                <w:b/>
                <w:color w:val="auto"/>
                <w:szCs w:val="20"/>
              </w:rPr>
            </w:pPr>
            <w:r>
              <w:rPr>
                <w:rFonts w:ascii="Times New Roman" w:hAnsi="Times New Roman"/>
                <w:b/>
                <w:color w:val="auto"/>
                <w:szCs w:val="20"/>
              </w:rPr>
              <w:t>类型</w:t>
            </w:r>
          </w:p>
        </w:tc>
        <w:tc>
          <w:tcPr>
            <w:tcW w:w="1080" w:type="dxa"/>
            <w:tcBorders>
              <w:top w:val="single" w:color="auto" w:sz="6" w:space="0"/>
              <w:left w:val="single" w:color="auto" w:sz="6" w:space="0"/>
              <w:bottom w:val="single" w:color="auto" w:sz="6" w:space="0"/>
            </w:tcBorders>
            <w:vAlign w:val="center"/>
          </w:tcPr>
          <w:p>
            <w:pPr>
              <w:spacing w:line="240" w:lineRule="atLeast"/>
              <w:jc w:val="center"/>
              <w:rPr>
                <w:rFonts w:ascii="Times New Roman" w:hAnsi="Times New Roman"/>
                <w:b/>
                <w:color w:val="auto"/>
                <w:szCs w:val="20"/>
              </w:rPr>
            </w:pPr>
            <w:r>
              <w:rPr>
                <w:rFonts w:ascii="Times New Roman" w:hAnsi="Times New Roman"/>
                <w:b/>
                <w:color w:val="auto"/>
                <w:szCs w:val="20"/>
              </w:rPr>
              <w:t>排放源</w:t>
            </w:r>
          </w:p>
          <w:p>
            <w:pPr>
              <w:spacing w:line="240" w:lineRule="atLeast"/>
              <w:jc w:val="center"/>
              <w:rPr>
                <w:rFonts w:ascii="Times New Roman" w:hAnsi="Times New Roman"/>
                <w:b/>
                <w:color w:val="auto"/>
                <w:szCs w:val="20"/>
              </w:rPr>
            </w:pPr>
            <w:r>
              <w:rPr>
                <w:rFonts w:ascii="Times New Roman" w:hAnsi="Times New Roman"/>
                <w:b/>
                <w:color w:val="auto"/>
                <w:szCs w:val="20"/>
              </w:rPr>
              <w:t>（编号）</w:t>
            </w:r>
          </w:p>
        </w:tc>
        <w:tc>
          <w:tcPr>
            <w:tcW w:w="2160" w:type="dxa"/>
            <w:tcBorders>
              <w:top w:val="single" w:color="auto" w:sz="6" w:space="0"/>
              <w:left w:val="single" w:color="auto" w:sz="6" w:space="0"/>
              <w:bottom w:val="single" w:color="auto" w:sz="6" w:space="0"/>
            </w:tcBorders>
            <w:vAlign w:val="center"/>
          </w:tcPr>
          <w:p>
            <w:pPr>
              <w:spacing w:line="240" w:lineRule="atLeast"/>
              <w:jc w:val="center"/>
              <w:rPr>
                <w:rFonts w:ascii="Times New Roman" w:hAnsi="Times New Roman"/>
                <w:b/>
                <w:color w:val="auto"/>
                <w:szCs w:val="20"/>
              </w:rPr>
            </w:pPr>
            <w:r>
              <w:rPr>
                <w:rFonts w:ascii="Times New Roman" w:hAnsi="Times New Roman"/>
                <w:b/>
                <w:color w:val="auto"/>
                <w:szCs w:val="20"/>
              </w:rPr>
              <w:t>污染物名称</w:t>
            </w:r>
          </w:p>
        </w:tc>
        <w:tc>
          <w:tcPr>
            <w:tcW w:w="1440" w:type="dxa"/>
            <w:tcBorders>
              <w:top w:val="single" w:color="auto" w:sz="6" w:space="0"/>
              <w:left w:val="single" w:color="auto" w:sz="6" w:space="0"/>
              <w:bottom w:val="single" w:color="auto" w:sz="6" w:space="0"/>
            </w:tcBorders>
            <w:vAlign w:val="center"/>
          </w:tcPr>
          <w:p>
            <w:pPr>
              <w:spacing w:line="240" w:lineRule="atLeast"/>
              <w:jc w:val="center"/>
              <w:rPr>
                <w:rFonts w:ascii="Times New Roman" w:hAnsi="Times New Roman"/>
                <w:b/>
                <w:color w:val="auto"/>
                <w:szCs w:val="20"/>
              </w:rPr>
            </w:pPr>
            <w:r>
              <w:rPr>
                <w:rFonts w:ascii="Times New Roman" w:hAnsi="Times New Roman"/>
                <w:b/>
                <w:color w:val="auto"/>
                <w:szCs w:val="20"/>
              </w:rPr>
              <w:t>处理前产生浓度及产生量（单位）</w:t>
            </w:r>
          </w:p>
        </w:tc>
        <w:tc>
          <w:tcPr>
            <w:tcW w:w="2954" w:type="dxa"/>
            <w:tcBorders>
              <w:top w:val="single" w:color="auto" w:sz="6" w:space="0"/>
              <w:left w:val="single" w:color="auto" w:sz="6" w:space="0"/>
              <w:bottom w:val="single" w:color="auto" w:sz="6" w:space="0"/>
            </w:tcBorders>
            <w:vAlign w:val="center"/>
          </w:tcPr>
          <w:p>
            <w:pPr>
              <w:spacing w:line="240" w:lineRule="atLeast"/>
              <w:jc w:val="center"/>
              <w:rPr>
                <w:rFonts w:ascii="Times New Roman" w:hAnsi="Times New Roman"/>
                <w:b/>
                <w:color w:val="auto"/>
                <w:szCs w:val="20"/>
              </w:rPr>
            </w:pPr>
            <w:r>
              <w:rPr>
                <w:rFonts w:ascii="Times New Roman" w:hAnsi="Times New Roman"/>
                <w:b/>
                <w:color w:val="auto"/>
                <w:szCs w:val="20"/>
              </w:rPr>
              <w:t>排放浓度及排放量</w:t>
            </w:r>
          </w:p>
          <w:p>
            <w:pPr>
              <w:spacing w:line="240" w:lineRule="atLeast"/>
              <w:jc w:val="center"/>
              <w:rPr>
                <w:rFonts w:ascii="Times New Roman" w:hAnsi="Times New Roman"/>
                <w:b/>
                <w:color w:val="auto"/>
                <w:szCs w:val="20"/>
              </w:rPr>
            </w:pPr>
            <w:r>
              <w:rPr>
                <w:rFonts w:ascii="Times New Roman" w:hAnsi="Times New Roman"/>
                <w:b/>
                <w:color w:val="auto"/>
                <w:szCs w:val="20"/>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080" w:type="dxa"/>
            <w:tcBorders>
              <w:top w:val="single" w:color="auto" w:sz="6" w:space="0"/>
              <w:bottom w:val="single" w:color="auto" w:sz="6" w:space="0"/>
              <w:right w:val="single" w:color="auto" w:sz="6" w:space="0"/>
            </w:tcBorders>
            <w:vAlign w:val="center"/>
          </w:tcPr>
          <w:p>
            <w:pPr>
              <w:spacing w:line="240" w:lineRule="atLeast"/>
              <w:jc w:val="center"/>
              <w:rPr>
                <w:rFonts w:ascii="Times New Roman" w:hAnsi="Times New Roman"/>
                <w:b/>
                <w:color w:val="auto"/>
                <w:szCs w:val="20"/>
              </w:rPr>
            </w:pPr>
            <w:r>
              <w:rPr>
                <w:rFonts w:ascii="Times New Roman" w:hAnsi="Times New Roman"/>
                <w:b/>
                <w:color w:val="auto"/>
                <w:szCs w:val="20"/>
              </w:rPr>
              <w:t>大气</w:t>
            </w:r>
          </w:p>
          <w:p>
            <w:pPr>
              <w:spacing w:line="240" w:lineRule="atLeast"/>
              <w:jc w:val="center"/>
              <w:rPr>
                <w:rFonts w:ascii="Times New Roman" w:hAnsi="Times New Roman"/>
                <w:b/>
                <w:color w:val="auto"/>
                <w:szCs w:val="20"/>
              </w:rPr>
            </w:pPr>
            <w:r>
              <w:rPr>
                <w:rFonts w:ascii="Times New Roman" w:hAnsi="Times New Roman"/>
                <w:b/>
                <w:color w:val="auto"/>
                <w:szCs w:val="20"/>
              </w:rPr>
              <w:t>污染物</w:t>
            </w:r>
          </w:p>
        </w:tc>
        <w:tc>
          <w:tcPr>
            <w:tcW w:w="1080" w:type="dxa"/>
            <w:tcBorders>
              <w:top w:val="single" w:color="auto" w:sz="6" w:space="0"/>
              <w:left w:val="single" w:color="auto" w:sz="6" w:space="0"/>
              <w:bottom w:val="single" w:color="auto" w:sz="6" w:space="0"/>
            </w:tcBorders>
            <w:vAlign w:val="center"/>
          </w:tcPr>
          <w:p>
            <w:pPr>
              <w:spacing w:line="240" w:lineRule="atLeast"/>
              <w:jc w:val="center"/>
              <w:rPr>
                <w:rFonts w:ascii="Times New Roman" w:hAnsi="Times New Roman"/>
                <w:color w:val="auto"/>
                <w:szCs w:val="20"/>
              </w:rPr>
            </w:pPr>
            <w:r>
              <w:rPr>
                <w:rFonts w:hint="eastAsia" w:ascii="Times New Roman" w:hAnsi="Times New Roman"/>
                <w:color w:val="auto"/>
                <w:szCs w:val="20"/>
              </w:rPr>
              <w:t>施工场地</w:t>
            </w:r>
          </w:p>
        </w:tc>
        <w:tc>
          <w:tcPr>
            <w:tcW w:w="2160" w:type="dxa"/>
            <w:tcBorders>
              <w:top w:val="single" w:color="auto" w:sz="6" w:space="0"/>
              <w:left w:val="single" w:color="auto" w:sz="6" w:space="0"/>
              <w:bottom w:val="single" w:color="auto" w:sz="6" w:space="0"/>
            </w:tcBorders>
            <w:vAlign w:val="center"/>
          </w:tcPr>
          <w:p>
            <w:pPr>
              <w:spacing w:line="240" w:lineRule="atLeast"/>
              <w:jc w:val="center"/>
              <w:rPr>
                <w:rFonts w:ascii="Times New Roman" w:hAnsi="Times New Roman"/>
                <w:color w:val="auto"/>
                <w:szCs w:val="20"/>
              </w:rPr>
            </w:pPr>
            <w:r>
              <w:rPr>
                <w:rFonts w:ascii="Times New Roman" w:hAnsi="Times New Roman"/>
                <w:color w:val="auto"/>
                <w:szCs w:val="20"/>
              </w:rPr>
              <w:t>TSP</w:t>
            </w:r>
          </w:p>
        </w:tc>
        <w:tc>
          <w:tcPr>
            <w:tcW w:w="1440" w:type="dxa"/>
            <w:tcBorders>
              <w:top w:val="single" w:color="auto" w:sz="6" w:space="0"/>
              <w:left w:val="single" w:color="auto" w:sz="6" w:space="0"/>
              <w:bottom w:val="single" w:color="auto" w:sz="6" w:space="0"/>
            </w:tcBorders>
            <w:vAlign w:val="center"/>
          </w:tcPr>
          <w:p>
            <w:pPr>
              <w:spacing w:line="240" w:lineRule="atLeast"/>
              <w:jc w:val="center"/>
              <w:rPr>
                <w:rFonts w:ascii="Times New Roman" w:hAnsi="Times New Roman"/>
                <w:color w:val="auto"/>
                <w:szCs w:val="20"/>
              </w:rPr>
            </w:pPr>
            <w:r>
              <w:rPr>
                <w:rFonts w:hint="eastAsia" w:ascii="Times New Roman" w:hAnsi="Times New Roman"/>
                <w:color w:val="auto"/>
                <w:szCs w:val="20"/>
              </w:rPr>
              <w:t>少量</w:t>
            </w:r>
          </w:p>
        </w:tc>
        <w:tc>
          <w:tcPr>
            <w:tcW w:w="2954" w:type="dxa"/>
            <w:tcBorders>
              <w:top w:val="single" w:color="auto" w:sz="6" w:space="0"/>
              <w:left w:val="single" w:color="auto" w:sz="6" w:space="0"/>
              <w:bottom w:val="single" w:color="auto" w:sz="6" w:space="0"/>
            </w:tcBorders>
            <w:vAlign w:val="center"/>
          </w:tcPr>
          <w:p>
            <w:pPr>
              <w:spacing w:line="240" w:lineRule="atLeast"/>
              <w:jc w:val="center"/>
              <w:rPr>
                <w:rFonts w:ascii="Times New Roman" w:hAnsi="Times New Roman"/>
                <w:color w:val="auto"/>
                <w:szCs w:val="20"/>
              </w:rPr>
            </w:pPr>
            <w:r>
              <w:rPr>
                <w:rFonts w:hint="eastAsia" w:ascii="Times New Roman" w:hAnsi="Times New Roman"/>
                <w:color w:val="auto"/>
                <w:szCs w:val="20"/>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080" w:type="dxa"/>
            <w:vMerge w:val="restart"/>
            <w:tcBorders>
              <w:top w:val="single" w:color="auto" w:sz="6" w:space="0"/>
              <w:right w:val="single" w:color="auto" w:sz="6" w:space="0"/>
            </w:tcBorders>
            <w:vAlign w:val="center"/>
          </w:tcPr>
          <w:p>
            <w:pPr>
              <w:spacing w:line="240" w:lineRule="atLeast"/>
              <w:jc w:val="center"/>
              <w:rPr>
                <w:rFonts w:ascii="Times New Roman" w:hAnsi="Times New Roman"/>
                <w:b/>
                <w:color w:val="auto"/>
                <w:szCs w:val="20"/>
              </w:rPr>
            </w:pPr>
            <w:r>
              <w:rPr>
                <w:rFonts w:ascii="Times New Roman" w:hAnsi="Times New Roman"/>
                <w:b/>
                <w:color w:val="auto"/>
                <w:szCs w:val="20"/>
              </w:rPr>
              <w:t>水污染物</w:t>
            </w:r>
          </w:p>
        </w:tc>
        <w:tc>
          <w:tcPr>
            <w:tcW w:w="1080" w:type="dxa"/>
            <w:tcBorders>
              <w:top w:val="single" w:color="auto" w:sz="6" w:space="0"/>
              <w:left w:val="single" w:color="auto" w:sz="6" w:space="0"/>
              <w:bottom w:val="single" w:color="auto" w:sz="4" w:space="0"/>
            </w:tcBorders>
            <w:vAlign w:val="center"/>
          </w:tcPr>
          <w:p>
            <w:pPr>
              <w:pStyle w:val="55"/>
              <w:snapToGrid w:val="0"/>
              <w:spacing w:line="240" w:lineRule="auto"/>
              <w:ind w:firstLine="0"/>
              <w:contextualSpacing/>
              <w:jc w:val="center"/>
              <w:rPr>
                <w:rFonts w:ascii="Times New Roman"/>
                <w:color w:val="auto"/>
                <w:sz w:val="21"/>
                <w:szCs w:val="21"/>
              </w:rPr>
            </w:pPr>
            <w:r>
              <w:rPr>
                <w:rFonts w:ascii="Times New Roman"/>
                <w:color w:val="auto"/>
                <w:sz w:val="21"/>
                <w:szCs w:val="21"/>
              </w:rPr>
              <w:t>施工期生活污水</w:t>
            </w:r>
          </w:p>
        </w:tc>
        <w:tc>
          <w:tcPr>
            <w:tcW w:w="2160" w:type="dxa"/>
            <w:tcBorders>
              <w:top w:val="single" w:color="auto" w:sz="6" w:space="0"/>
              <w:left w:val="single" w:color="auto" w:sz="6" w:space="0"/>
              <w:bottom w:val="single" w:color="auto" w:sz="4" w:space="0"/>
            </w:tcBorders>
            <w:vAlign w:val="center"/>
          </w:tcPr>
          <w:p>
            <w:pPr>
              <w:pStyle w:val="55"/>
              <w:snapToGrid w:val="0"/>
              <w:spacing w:line="240" w:lineRule="auto"/>
              <w:ind w:firstLine="0"/>
              <w:contextualSpacing/>
              <w:jc w:val="center"/>
              <w:rPr>
                <w:rFonts w:ascii="Times New Roman"/>
                <w:color w:val="auto"/>
                <w:sz w:val="21"/>
                <w:szCs w:val="21"/>
              </w:rPr>
            </w:pPr>
            <w:r>
              <w:rPr>
                <w:rFonts w:ascii="Times New Roman"/>
                <w:color w:val="auto"/>
                <w:sz w:val="21"/>
                <w:szCs w:val="21"/>
              </w:rPr>
              <w:t>pH、COD、BOD</w:t>
            </w:r>
            <w:r>
              <w:rPr>
                <w:rFonts w:ascii="Times New Roman"/>
                <w:color w:val="auto"/>
                <w:sz w:val="21"/>
                <w:szCs w:val="21"/>
                <w:vertAlign w:val="subscript"/>
              </w:rPr>
              <w:t>5</w:t>
            </w:r>
            <w:r>
              <w:rPr>
                <w:rFonts w:ascii="Times New Roman"/>
                <w:color w:val="auto"/>
                <w:sz w:val="21"/>
                <w:szCs w:val="21"/>
              </w:rPr>
              <w:t>、NH</w:t>
            </w:r>
            <w:r>
              <w:rPr>
                <w:rFonts w:ascii="Times New Roman"/>
                <w:color w:val="auto"/>
                <w:sz w:val="21"/>
                <w:szCs w:val="21"/>
                <w:vertAlign w:val="subscript"/>
              </w:rPr>
              <w:t>3</w:t>
            </w:r>
            <w:r>
              <w:rPr>
                <w:rFonts w:ascii="Times New Roman"/>
                <w:color w:val="auto"/>
                <w:sz w:val="21"/>
                <w:szCs w:val="21"/>
              </w:rPr>
              <w:t>-N</w:t>
            </w:r>
          </w:p>
        </w:tc>
        <w:tc>
          <w:tcPr>
            <w:tcW w:w="1440" w:type="dxa"/>
            <w:tcBorders>
              <w:top w:val="single" w:color="auto" w:sz="6" w:space="0"/>
              <w:left w:val="single" w:color="auto" w:sz="6" w:space="0"/>
              <w:bottom w:val="single" w:color="auto" w:sz="4" w:space="0"/>
            </w:tcBorders>
            <w:vAlign w:val="center"/>
          </w:tcPr>
          <w:p>
            <w:pPr>
              <w:pStyle w:val="55"/>
              <w:snapToGrid w:val="0"/>
              <w:spacing w:line="240" w:lineRule="auto"/>
              <w:ind w:firstLine="0"/>
              <w:contextualSpacing/>
              <w:jc w:val="center"/>
              <w:rPr>
                <w:rFonts w:ascii="Times New Roman"/>
                <w:color w:val="auto"/>
                <w:sz w:val="21"/>
                <w:szCs w:val="21"/>
              </w:rPr>
            </w:pPr>
            <w:r>
              <w:rPr>
                <w:rFonts w:ascii="Times New Roman"/>
                <w:color w:val="auto"/>
                <w:sz w:val="21"/>
                <w:szCs w:val="21"/>
              </w:rPr>
              <w:t>化粪池</w:t>
            </w:r>
          </w:p>
        </w:tc>
        <w:tc>
          <w:tcPr>
            <w:tcW w:w="2954" w:type="dxa"/>
            <w:tcBorders>
              <w:top w:val="single" w:color="auto" w:sz="6" w:space="0"/>
              <w:left w:val="single" w:color="auto" w:sz="6" w:space="0"/>
              <w:bottom w:val="single" w:color="auto" w:sz="4" w:space="0"/>
            </w:tcBorders>
            <w:vAlign w:val="center"/>
          </w:tcPr>
          <w:p>
            <w:pPr>
              <w:pStyle w:val="55"/>
              <w:snapToGrid w:val="0"/>
              <w:spacing w:line="240" w:lineRule="auto"/>
              <w:ind w:firstLine="0"/>
              <w:contextualSpacing/>
              <w:jc w:val="center"/>
              <w:rPr>
                <w:rFonts w:ascii="Times New Roman"/>
                <w:color w:val="auto"/>
                <w:sz w:val="21"/>
                <w:szCs w:val="21"/>
              </w:rPr>
            </w:pPr>
            <w:r>
              <w:rPr>
                <w:rFonts w:ascii="Times New Roman"/>
                <w:color w:val="auto"/>
                <w:sz w:val="21"/>
                <w:szCs w:val="21"/>
              </w:rPr>
              <w:t>施工期的施工人员统一集中居住在施工点附近村庄租住的民房内，生活污水排入居住点的化粪池中。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080" w:type="dxa"/>
            <w:vMerge w:val="continue"/>
            <w:tcBorders>
              <w:bottom w:val="single" w:color="auto" w:sz="6" w:space="0"/>
              <w:right w:val="single" w:color="auto" w:sz="6" w:space="0"/>
            </w:tcBorders>
            <w:vAlign w:val="center"/>
          </w:tcPr>
          <w:p>
            <w:pPr>
              <w:spacing w:line="240" w:lineRule="atLeast"/>
              <w:jc w:val="center"/>
              <w:rPr>
                <w:rFonts w:ascii="Times New Roman" w:hAnsi="Times New Roman"/>
                <w:b/>
                <w:color w:val="auto"/>
                <w:szCs w:val="20"/>
              </w:rPr>
            </w:pPr>
          </w:p>
        </w:tc>
        <w:tc>
          <w:tcPr>
            <w:tcW w:w="1080" w:type="dxa"/>
            <w:tcBorders>
              <w:top w:val="single" w:color="auto" w:sz="4" w:space="0"/>
              <w:left w:val="single" w:color="auto" w:sz="6" w:space="0"/>
              <w:bottom w:val="single" w:color="auto" w:sz="6" w:space="0"/>
            </w:tcBorders>
            <w:vAlign w:val="center"/>
          </w:tcPr>
          <w:p>
            <w:pPr>
              <w:pStyle w:val="55"/>
              <w:snapToGrid w:val="0"/>
              <w:spacing w:line="240" w:lineRule="auto"/>
              <w:ind w:firstLine="0"/>
              <w:contextualSpacing/>
              <w:jc w:val="center"/>
              <w:rPr>
                <w:rFonts w:ascii="Times New Roman"/>
                <w:color w:val="auto"/>
                <w:sz w:val="21"/>
                <w:szCs w:val="21"/>
              </w:rPr>
            </w:pPr>
            <w:r>
              <w:rPr>
                <w:rFonts w:ascii="Times New Roman"/>
                <w:color w:val="auto"/>
                <w:sz w:val="21"/>
                <w:szCs w:val="21"/>
              </w:rPr>
              <w:t>施工期生产排水</w:t>
            </w:r>
          </w:p>
        </w:tc>
        <w:tc>
          <w:tcPr>
            <w:tcW w:w="2160" w:type="dxa"/>
            <w:tcBorders>
              <w:top w:val="single" w:color="auto" w:sz="4" w:space="0"/>
              <w:left w:val="single" w:color="auto" w:sz="6" w:space="0"/>
              <w:bottom w:val="single" w:color="auto" w:sz="6" w:space="0"/>
            </w:tcBorders>
            <w:vAlign w:val="center"/>
          </w:tcPr>
          <w:p>
            <w:pPr>
              <w:pStyle w:val="55"/>
              <w:snapToGrid w:val="0"/>
              <w:spacing w:line="240" w:lineRule="auto"/>
              <w:ind w:firstLine="0"/>
              <w:contextualSpacing/>
              <w:jc w:val="center"/>
              <w:rPr>
                <w:rFonts w:hint="eastAsia" w:ascii="Times New Roman"/>
                <w:color w:val="auto"/>
                <w:sz w:val="21"/>
                <w:szCs w:val="21"/>
              </w:rPr>
            </w:pPr>
            <w:r>
              <w:rPr>
                <w:rFonts w:hint="eastAsia" w:ascii="Times New Roman"/>
                <w:color w:val="auto"/>
                <w:sz w:val="21"/>
                <w:szCs w:val="21"/>
              </w:rPr>
              <w:t>少量</w:t>
            </w:r>
          </w:p>
        </w:tc>
        <w:tc>
          <w:tcPr>
            <w:tcW w:w="1440" w:type="dxa"/>
            <w:tcBorders>
              <w:top w:val="single" w:color="auto" w:sz="4" w:space="0"/>
              <w:left w:val="single" w:color="auto" w:sz="6" w:space="0"/>
              <w:bottom w:val="single" w:color="auto" w:sz="6" w:space="0"/>
            </w:tcBorders>
            <w:vAlign w:val="center"/>
          </w:tcPr>
          <w:p>
            <w:pPr>
              <w:pStyle w:val="55"/>
              <w:snapToGrid w:val="0"/>
              <w:spacing w:line="240" w:lineRule="auto"/>
              <w:ind w:firstLine="0"/>
              <w:contextualSpacing/>
              <w:jc w:val="center"/>
              <w:rPr>
                <w:rFonts w:ascii="Times New Roman"/>
                <w:color w:val="auto"/>
                <w:sz w:val="21"/>
                <w:szCs w:val="21"/>
              </w:rPr>
            </w:pPr>
            <w:r>
              <w:rPr>
                <w:rFonts w:ascii="Times New Roman"/>
                <w:color w:val="auto"/>
                <w:sz w:val="21"/>
                <w:szCs w:val="21"/>
              </w:rPr>
              <w:t>——</w:t>
            </w:r>
          </w:p>
        </w:tc>
        <w:tc>
          <w:tcPr>
            <w:tcW w:w="2954" w:type="dxa"/>
            <w:tcBorders>
              <w:top w:val="single" w:color="auto" w:sz="4" w:space="0"/>
              <w:left w:val="single" w:color="auto" w:sz="6" w:space="0"/>
              <w:bottom w:val="single" w:color="auto" w:sz="6" w:space="0"/>
            </w:tcBorders>
            <w:vAlign w:val="center"/>
          </w:tcPr>
          <w:p>
            <w:pPr>
              <w:pStyle w:val="55"/>
              <w:snapToGrid w:val="0"/>
              <w:spacing w:line="240" w:lineRule="auto"/>
              <w:ind w:firstLine="0"/>
              <w:contextualSpacing/>
              <w:jc w:val="center"/>
              <w:rPr>
                <w:rFonts w:ascii="Times New Roman"/>
                <w:color w:val="auto"/>
                <w:sz w:val="21"/>
                <w:szCs w:val="21"/>
              </w:rPr>
            </w:pPr>
            <w:r>
              <w:rPr>
                <w:rFonts w:ascii="Times New Roman"/>
                <w:color w:val="auto"/>
                <w:sz w:val="21"/>
                <w:szCs w:val="21"/>
              </w:rPr>
              <w:t>少量，处理后回用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080" w:type="dxa"/>
            <w:tcBorders>
              <w:top w:val="single" w:color="auto" w:sz="6" w:space="0"/>
              <w:bottom w:val="single" w:color="auto" w:sz="6" w:space="0"/>
              <w:right w:val="single" w:color="auto" w:sz="6" w:space="0"/>
            </w:tcBorders>
            <w:vAlign w:val="center"/>
          </w:tcPr>
          <w:p>
            <w:pPr>
              <w:spacing w:line="320" w:lineRule="exact"/>
              <w:rPr>
                <w:rFonts w:ascii="Times New Roman" w:hAnsi="Times New Roman"/>
                <w:b/>
                <w:color w:val="auto"/>
                <w:szCs w:val="20"/>
              </w:rPr>
            </w:pPr>
            <w:r>
              <w:rPr>
                <w:rFonts w:ascii="Times New Roman" w:hAnsi="Times New Roman"/>
                <w:b/>
                <w:color w:val="auto"/>
                <w:szCs w:val="20"/>
              </w:rPr>
              <w:t>电磁</w:t>
            </w:r>
            <w:r>
              <w:rPr>
                <w:rFonts w:hint="eastAsia" w:ascii="Times New Roman" w:hAnsi="Times New Roman"/>
                <w:b/>
                <w:color w:val="auto"/>
                <w:szCs w:val="20"/>
              </w:rPr>
              <w:t>环境</w:t>
            </w:r>
            <w:r>
              <w:rPr>
                <w:rFonts w:ascii="Times New Roman" w:hAnsi="Times New Roman"/>
                <w:b/>
                <w:color w:val="auto"/>
                <w:szCs w:val="20"/>
              </w:rPr>
              <w:t xml:space="preserve"> </w:t>
            </w:r>
          </w:p>
        </w:tc>
        <w:tc>
          <w:tcPr>
            <w:tcW w:w="1080" w:type="dxa"/>
            <w:tcBorders>
              <w:top w:val="single" w:color="auto" w:sz="6" w:space="0"/>
              <w:left w:val="single" w:color="auto" w:sz="6" w:space="0"/>
              <w:bottom w:val="single" w:color="auto" w:sz="6" w:space="0"/>
            </w:tcBorders>
            <w:vAlign w:val="center"/>
          </w:tcPr>
          <w:p>
            <w:pPr>
              <w:spacing w:line="320" w:lineRule="exact"/>
              <w:jc w:val="center"/>
              <w:rPr>
                <w:rFonts w:ascii="Times New Roman" w:hAnsi="Times New Roman"/>
                <w:bCs/>
                <w:color w:val="auto"/>
              </w:rPr>
            </w:pPr>
            <w:r>
              <w:rPr>
                <w:rFonts w:hint="eastAsia" w:ascii="Times New Roman" w:hAnsi="Times New Roman"/>
                <w:bCs/>
                <w:color w:val="auto"/>
              </w:rPr>
              <w:t>输电线路</w:t>
            </w:r>
          </w:p>
        </w:tc>
        <w:tc>
          <w:tcPr>
            <w:tcW w:w="2160" w:type="dxa"/>
            <w:tcBorders>
              <w:top w:val="single" w:color="auto" w:sz="6" w:space="0"/>
              <w:left w:val="single" w:color="auto" w:sz="6" w:space="0"/>
              <w:bottom w:val="single" w:color="auto" w:sz="6" w:space="0"/>
            </w:tcBorders>
            <w:vAlign w:val="center"/>
          </w:tcPr>
          <w:p>
            <w:pPr>
              <w:spacing w:line="320" w:lineRule="exact"/>
              <w:jc w:val="center"/>
              <w:rPr>
                <w:rFonts w:ascii="Times New Roman" w:hAnsi="Times New Roman"/>
                <w:bCs/>
                <w:color w:val="auto"/>
              </w:rPr>
            </w:pPr>
            <w:r>
              <w:rPr>
                <w:rFonts w:ascii="Times New Roman" w:hAnsi="Times New Roman"/>
                <w:bCs/>
                <w:color w:val="auto"/>
              </w:rPr>
              <w:t>工频电场</w:t>
            </w:r>
          </w:p>
          <w:p>
            <w:pPr>
              <w:spacing w:line="320" w:lineRule="exact"/>
              <w:jc w:val="center"/>
              <w:rPr>
                <w:rFonts w:ascii="Times New Roman" w:hAnsi="Times New Roman"/>
                <w:bCs/>
                <w:color w:val="auto"/>
              </w:rPr>
            </w:pPr>
            <w:r>
              <w:rPr>
                <w:rFonts w:ascii="Times New Roman" w:hAnsi="Times New Roman"/>
                <w:bCs/>
                <w:color w:val="auto"/>
              </w:rPr>
              <w:t>工频磁场</w:t>
            </w:r>
          </w:p>
        </w:tc>
        <w:tc>
          <w:tcPr>
            <w:tcW w:w="1440" w:type="dxa"/>
            <w:tcBorders>
              <w:top w:val="single" w:color="auto" w:sz="6" w:space="0"/>
              <w:left w:val="single" w:color="auto" w:sz="6" w:space="0"/>
              <w:bottom w:val="single" w:color="auto" w:sz="6" w:space="0"/>
            </w:tcBorders>
            <w:vAlign w:val="center"/>
          </w:tcPr>
          <w:p>
            <w:pPr>
              <w:spacing w:line="320" w:lineRule="exact"/>
              <w:jc w:val="center"/>
              <w:rPr>
                <w:rFonts w:ascii="Times New Roman" w:hAnsi="Times New Roman"/>
                <w:bCs/>
                <w:color w:val="auto"/>
              </w:rPr>
            </w:pPr>
            <w:r>
              <w:rPr>
                <w:rFonts w:hint="eastAsia" w:ascii="Times New Roman" w:hAnsi="Times New Roman"/>
                <w:bCs/>
                <w:color w:val="auto"/>
              </w:rPr>
              <w:t>—</w:t>
            </w:r>
          </w:p>
        </w:tc>
        <w:tc>
          <w:tcPr>
            <w:tcW w:w="2954" w:type="dxa"/>
            <w:tcBorders>
              <w:top w:val="single" w:color="auto" w:sz="6" w:space="0"/>
              <w:left w:val="single" w:color="auto" w:sz="6" w:space="0"/>
              <w:bottom w:val="single" w:color="auto" w:sz="6" w:space="0"/>
            </w:tcBorders>
            <w:vAlign w:val="center"/>
          </w:tcPr>
          <w:p>
            <w:pPr>
              <w:pStyle w:val="23"/>
              <w:spacing w:line="240" w:lineRule="auto"/>
              <w:ind w:firstLine="0"/>
              <w:jc w:val="left"/>
              <w:rPr>
                <w:rFonts w:ascii="Times New Roman"/>
                <w:color w:val="auto"/>
                <w:kern w:val="2"/>
                <w:sz w:val="21"/>
              </w:rPr>
            </w:pPr>
            <w:r>
              <w:rPr>
                <w:rFonts w:hint="eastAsia" w:ascii="Times New Roman"/>
                <w:color w:val="auto"/>
                <w:kern w:val="2"/>
                <w:sz w:val="21"/>
              </w:rPr>
              <w:t>工频电场强度：</w:t>
            </w:r>
          </w:p>
          <w:p>
            <w:pPr>
              <w:pStyle w:val="23"/>
              <w:spacing w:line="240" w:lineRule="auto"/>
              <w:ind w:firstLine="0"/>
              <w:jc w:val="center"/>
              <w:rPr>
                <w:rFonts w:ascii="Times New Roman"/>
                <w:color w:val="auto"/>
                <w:kern w:val="2"/>
                <w:sz w:val="21"/>
              </w:rPr>
            </w:pPr>
            <w:r>
              <w:rPr>
                <w:rFonts w:hint="eastAsia" w:ascii="Times New Roman"/>
                <w:color w:val="auto"/>
                <w:kern w:val="2"/>
                <w:sz w:val="21"/>
              </w:rPr>
              <w:t>&lt; 4kV/m（公众曝露控制限值），&lt;1</w:t>
            </w:r>
            <w:r>
              <w:rPr>
                <w:rFonts w:ascii="Times New Roman"/>
                <w:color w:val="auto"/>
                <w:kern w:val="2"/>
                <w:sz w:val="21"/>
              </w:rPr>
              <w:t>0k</w:t>
            </w:r>
            <w:r>
              <w:rPr>
                <w:rFonts w:hint="eastAsia" w:ascii="Times New Roman"/>
                <w:color w:val="auto"/>
                <w:kern w:val="2"/>
                <w:sz w:val="21"/>
              </w:rPr>
              <w:t>V/m（架空线路经过耕地、林地、道路等场所时）</w:t>
            </w:r>
          </w:p>
          <w:p>
            <w:pPr>
              <w:pStyle w:val="23"/>
              <w:spacing w:line="240" w:lineRule="auto"/>
              <w:ind w:firstLine="0"/>
              <w:jc w:val="left"/>
              <w:rPr>
                <w:rFonts w:ascii="Times New Roman"/>
                <w:color w:val="auto"/>
                <w:kern w:val="2"/>
                <w:sz w:val="21"/>
              </w:rPr>
            </w:pPr>
            <w:r>
              <w:rPr>
                <w:rFonts w:hint="eastAsia" w:ascii="Times New Roman"/>
                <w:color w:val="auto"/>
                <w:kern w:val="2"/>
                <w:sz w:val="21"/>
              </w:rPr>
              <w:t>工频磁感应强度：</w:t>
            </w:r>
            <w:r>
              <w:rPr>
                <w:rFonts w:ascii="Times New Roman"/>
                <w:color w:val="auto"/>
                <w:kern w:val="2"/>
                <w:sz w:val="21"/>
              </w:rPr>
              <w:t>&lt;100μT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080" w:type="dxa"/>
            <w:tcBorders>
              <w:top w:val="single" w:color="auto" w:sz="6" w:space="0"/>
              <w:right w:val="single" w:color="auto" w:sz="6" w:space="0"/>
            </w:tcBorders>
            <w:vAlign w:val="center"/>
          </w:tcPr>
          <w:p>
            <w:pPr>
              <w:spacing w:line="240" w:lineRule="atLeast"/>
              <w:jc w:val="center"/>
              <w:rPr>
                <w:rFonts w:ascii="Times New Roman" w:hAnsi="Times New Roman"/>
                <w:b/>
                <w:color w:val="auto"/>
                <w:szCs w:val="20"/>
              </w:rPr>
            </w:pPr>
            <w:r>
              <w:rPr>
                <w:rFonts w:ascii="Times New Roman" w:hAnsi="Times New Roman"/>
                <w:b/>
                <w:color w:val="auto"/>
                <w:szCs w:val="20"/>
              </w:rPr>
              <w:t>固体废物</w:t>
            </w:r>
          </w:p>
        </w:tc>
        <w:tc>
          <w:tcPr>
            <w:tcW w:w="1080" w:type="dxa"/>
            <w:tcBorders>
              <w:top w:val="single" w:color="auto" w:sz="6" w:space="0"/>
              <w:left w:val="single" w:color="auto" w:sz="6" w:space="0"/>
              <w:bottom w:val="single" w:color="auto" w:sz="4" w:space="0"/>
            </w:tcBorders>
            <w:vAlign w:val="center"/>
          </w:tcPr>
          <w:p>
            <w:pPr>
              <w:spacing w:line="240" w:lineRule="atLeast"/>
              <w:jc w:val="center"/>
              <w:rPr>
                <w:rFonts w:ascii="Times New Roman" w:hAnsi="Times New Roman"/>
                <w:color w:val="auto"/>
                <w:szCs w:val="20"/>
              </w:rPr>
            </w:pPr>
            <w:r>
              <w:rPr>
                <w:rFonts w:hint="eastAsia" w:ascii="Times New Roman" w:hAnsi="Times New Roman"/>
                <w:color w:val="auto"/>
                <w:szCs w:val="20"/>
              </w:rPr>
              <w:t>施工场地</w:t>
            </w:r>
          </w:p>
        </w:tc>
        <w:tc>
          <w:tcPr>
            <w:tcW w:w="2160" w:type="dxa"/>
            <w:tcBorders>
              <w:top w:val="single" w:color="auto" w:sz="6" w:space="0"/>
              <w:left w:val="single" w:color="auto" w:sz="6" w:space="0"/>
              <w:bottom w:val="single" w:color="auto" w:sz="4" w:space="0"/>
            </w:tcBorders>
            <w:vAlign w:val="center"/>
          </w:tcPr>
          <w:p>
            <w:pPr>
              <w:spacing w:line="240" w:lineRule="atLeast"/>
              <w:jc w:val="center"/>
              <w:rPr>
                <w:rFonts w:ascii="Times New Roman" w:hAnsi="Times New Roman"/>
                <w:color w:val="auto"/>
                <w:szCs w:val="20"/>
              </w:rPr>
            </w:pPr>
            <w:r>
              <w:rPr>
                <w:rFonts w:ascii="Times New Roman" w:hAnsi="Times New Roman"/>
                <w:color w:val="auto"/>
              </w:rPr>
              <w:t>建筑垃圾</w:t>
            </w:r>
            <w:r>
              <w:rPr>
                <w:rFonts w:hint="eastAsia" w:ascii="Times New Roman" w:hAnsi="Times New Roman"/>
                <w:color w:val="auto"/>
              </w:rPr>
              <w:t>、</w:t>
            </w:r>
            <w:r>
              <w:rPr>
                <w:rFonts w:ascii="Times New Roman" w:hAnsi="Times New Roman"/>
                <w:color w:val="auto"/>
              </w:rPr>
              <w:t>生活垃圾</w:t>
            </w:r>
          </w:p>
        </w:tc>
        <w:tc>
          <w:tcPr>
            <w:tcW w:w="1440" w:type="dxa"/>
            <w:tcBorders>
              <w:top w:val="single" w:color="auto" w:sz="6" w:space="0"/>
              <w:left w:val="single" w:color="auto" w:sz="6" w:space="0"/>
              <w:bottom w:val="single" w:color="auto" w:sz="4" w:space="0"/>
            </w:tcBorders>
            <w:vAlign w:val="center"/>
          </w:tcPr>
          <w:p>
            <w:pPr>
              <w:spacing w:line="240" w:lineRule="atLeast"/>
              <w:jc w:val="center"/>
              <w:rPr>
                <w:rFonts w:ascii="Times New Roman" w:hAnsi="Times New Roman"/>
                <w:color w:val="auto"/>
                <w:szCs w:val="20"/>
              </w:rPr>
            </w:pPr>
            <w:r>
              <w:rPr>
                <w:rFonts w:hint="eastAsia" w:ascii="Times New Roman" w:hAnsi="Times New Roman"/>
                <w:color w:val="auto"/>
                <w:szCs w:val="20"/>
              </w:rPr>
              <w:t>少量</w:t>
            </w:r>
          </w:p>
        </w:tc>
        <w:tc>
          <w:tcPr>
            <w:tcW w:w="2954" w:type="dxa"/>
            <w:tcBorders>
              <w:top w:val="single" w:color="auto" w:sz="6" w:space="0"/>
              <w:left w:val="single" w:color="auto" w:sz="6" w:space="0"/>
              <w:bottom w:val="single" w:color="auto" w:sz="4" w:space="0"/>
            </w:tcBorders>
            <w:vAlign w:val="center"/>
          </w:tcPr>
          <w:p>
            <w:pPr>
              <w:spacing w:line="240" w:lineRule="atLeast"/>
              <w:jc w:val="center"/>
              <w:rPr>
                <w:rFonts w:ascii="Times New Roman" w:hAnsi="Times New Roman"/>
                <w:color w:val="auto"/>
                <w:szCs w:val="20"/>
              </w:rPr>
            </w:pPr>
            <w:r>
              <w:rPr>
                <w:rFonts w:hint="eastAsia" w:ascii="Times New Roman" w:hAnsi="Times New Roman"/>
                <w:color w:val="auto"/>
                <w:szCs w:val="20"/>
              </w:rPr>
              <w:t>集中收集，定期清运至环卫部门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61" w:hRule="atLeast"/>
        </w:trPr>
        <w:tc>
          <w:tcPr>
            <w:tcW w:w="1080" w:type="dxa"/>
            <w:tcBorders>
              <w:top w:val="single" w:color="auto" w:sz="6" w:space="0"/>
              <w:bottom w:val="single" w:color="auto" w:sz="6" w:space="0"/>
              <w:right w:val="single" w:color="auto" w:sz="6" w:space="0"/>
            </w:tcBorders>
            <w:vAlign w:val="center"/>
          </w:tcPr>
          <w:p>
            <w:pPr>
              <w:spacing w:line="360" w:lineRule="exact"/>
              <w:jc w:val="center"/>
              <w:rPr>
                <w:rFonts w:ascii="Times New Roman" w:hAnsi="Times New Roman"/>
                <w:b/>
                <w:color w:val="auto"/>
                <w:szCs w:val="20"/>
              </w:rPr>
            </w:pPr>
            <w:r>
              <w:rPr>
                <w:rFonts w:ascii="Times New Roman" w:hAnsi="Times New Roman"/>
                <w:b/>
                <w:color w:val="auto"/>
                <w:szCs w:val="20"/>
              </w:rPr>
              <w:t>噪  声</w:t>
            </w:r>
          </w:p>
        </w:tc>
        <w:tc>
          <w:tcPr>
            <w:tcW w:w="7634" w:type="dxa"/>
            <w:gridSpan w:val="4"/>
            <w:tcBorders>
              <w:top w:val="single" w:color="auto" w:sz="6" w:space="0"/>
              <w:left w:val="single" w:color="auto" w:sz="6" w:space="0"/>
              <w:bottom w:val="single" w:color="auto" w:sz="6" w:space="0"/>
            </w:tcBorders>
            <w:vAlign w:val="center"/>
          </w:tcPr>
          <w:p>
            <w:pPr>
              <w:ind w:firstLine="435"/>
              <w:rPr>
                <w:rFonts w:ascii="Times New Roman" w:hAnsi="Times New Roman"/>
                <w:color w:val="auto"/>
              </w:rPr>
            </w:pPr>
            <w:r>
              <w:rPr>
                <w:rFonts w:hint="eastAsia" w:ascii="Times New Roman" w:hAnsi="Times New Roman"/>
                <w:color w:val="auto"/>
              </w:rPr>
              <w:t>本期新建线路工程，施工时采用低噪声设备施工，对线路沿线声环境影响较小。220kV线路电压等级较低，线路运行时产生的电晕噪声值较小，其运行对周围声环境影响很小</w:t>
            </w:r>
            <w:r>
              <w:rPr>
                <w:rFonts w:ascii="Times New Roman" w:hAns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trPr>
        <w:tc>
          <w:tcPr>
            <w:tcW w:w="1080" w:type="dxa"/>
            <w:tcBorders>
              <w:top w:val="single" w:color="auto" w:sz="6" w:space="0"/>
              <w:bottom w:val="single" w:color="auto" w:sz="6" w:space="0"/>
              <w:right w:val="single" w:color="auto" w:sz="6" w:space="0"/>
            </w:tcBorders>
            <w:vAlign w:val="center"/>
          </w:tcPr>
          <w:p>
            <w:pPr>
              <w:spacing w:line="240" w:lineRule="atLeast"/>
              <w:jc w:val="center"/>
              <w:rPr>
                <w:rFonts w:ascii="Times New Roman" w:hAnsi="Times New Roman"/>
                <w:b/>
                <w:color w:val="auto"/>
                <w:szCs w:val="20"/>
              </w:rPr>
            </w:pPr>
            <w:r>
              <w:rPr>
                <w:rFonts w:ascii="Times New Roman" w:hAnsi="Times New Roman"/>
                <w:b/>
                <w:color w:val="auto"/>
                <w:szCs w:val="20"/>
              </w:rPr>
              <w:t>其 它</w:t>
            </w:r>
          </w:p>
        </w:tc>
        <w:tc>
          <w:tcPr>
            <w:tcW w:w="7634" w:type="dxa"/>
            <w:gridSpan w:val="4"/>
            <w:tcBorders>
              <w:top w:val="single" w:color="auto" w:sz="6" w:space="0"/>
              <w:left w:val="single" w:color="auto" w:sz="6" w:space="0"/>
              <w:bottom w:val="single" w:color="auto" w:sz="6" w:space="0"/>
            </w:tcBorders>
            <w:vAlign w:val="center"/>
          </w:tcPr>
          <w:p>
            <w:pPr>
              <w:spacing w:line="240" w:lineRule="atLeast"/>
              <w:ind w:firstLine="210" w:firstLineChars="100"/>
              <w:rPr>
                <w:rFonts w:hint="eastAsia" w:ascii="Times New Roman" w:hAnsi="Times New Roman"/>
                <w:color w:val="auto"/>
                <w:szCs w:val="20"/>
              </w:rPr>
            </w:pPr>
            <w:r>
              <w:rPr>
                <w:rFonts w:hint="eastAsia" w:ascii="Times New Roman" w:hAnsi="Times New Roman"/>
                <w:color w:val="auto"/>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080" w:type="dxa"/>
            <w:tcBorders>
              <w:top w:val="single" w:color="auto" w:sz="6" w:space="0"/>
              <w:bottom w:val="single" w:color="auto" w:sz="6" w:space="0"/>
              <w:right w:val="single" w:color="auto" w:sz="6" w:space="0"/>
            </w:tcBorders>
            <w:vAlign w:val="center"/>
          </w:tcPr>
          <w:p>
            <w:pPr>
              <w:spacing w:line="240" w:lineRule="atLeast"/>
              <w:jc w:val="center"/>
              <w:rPr>
                <w:rFonts w:ascii="Times New Roman" w:hAnsi="Times New Roman"/>
                <w:b/>
                <w:color w:val="auto"/>
                <w:szCs w:val="20"/>
              </w:rPr>
            </w:pPr>
            <w:r>
              <w:rPr>
                <w:rFonts w:ascii="Times New Roman" w:hAnsi="Times New Roman"/>
                <w:b/>
                <w:color w:val="auto"/>
                <w:szCs w:val="20"/>
              </w:rPr>
              <w:t>生态影响</w:t>
            </w:r>
          </w:p>
        </w:tc>
        <w:tc>
          <w:tcPr>
            <w:tcW w:w="7634" w:type="dxa"/>
            <w:gridSpan w:val="4"/>
            <w:tcBorders>
              <w:top w:val="single" w:color="auto" w:sz="6" w:space="0"/>
              <w:left w:val="single" w:color="auto" w:sz="6"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Times New Roman" w:hAnsi="Times New Roman"/>
                <w:color w:val="auto"/>
              </w:rPr>
            </w:pPr>
            <w:r>
              <w:rPr>
                <w:rFonts w:hint="eastAsia" w:ascii="Times New Roman" w:hAnsi="Times New Roman"/>
                <w:color w:val="auto"/>
              </w:rPr>
              <w:t>本工程输电</w:t>
            </w:r>
            <w:r>
              <w:rPr>
                <w:rFonts w:hint="eastAsia" w:ascii="Times New Roman" w:hAnsi="Times New Roman"/>
                <w:color w:val="auto"/>
                <w:szCs w:val="20"/>
              </w:rPr>
              <w:t>线路</w:t>
            </w:r>
            <w:r>
              <w:rPr>
                <w:rFonts w:hint="eastAsia" w:ascii="Times New Roman" w:hAnsi="Times New Roman"/>
                <w:color w:val="auto"/>
                <w:szCs w:val="20"/>
                <w:lang w:eastAsia="zh-CN"/>
              </w:rPr>
              <w:t>沿</w:t>
            </w:r>
            <w:r>
              <w:rPr>
                <w:rFonts w:hint="eastAsia" w:ascii="Times New Roman" w:hAnsi="Times New Roman"/>
                <w:color w:val="auto"/>
                <w:szCs w:val="20"/>
              </w:rPr>
              <w:t>线</w:t>
            </w:r>
            <w:r>
              <w:rPr>
                <w:rFonts w:ascii="Times New Roman" w:hAnsi="Times New Roman"/>
                <w:color w:val="auto"/>
                <w:szCs w:val="20"/>
              </w:rPr>
              <w:t>以平地为主，在南渡江两岸和东路镇</w:t>
            </w:r>
            <w:r>
              <w:rPr>
                <w:rFonts w:hint="eastAsia" w:ascii="Times New Roman" w:hAnsi="Times New Roman"/>
                <w:color w:val="auto"/>
                <w:szCs w:val="20"/>
                <w:lang w:val="en-US" w:eastAsia="zh-CN"/>
              </w:rPr>
              <w:t>220kV</w:t>
            </w:r>
            <w:r>
              <w:rPr>
                <w:rFonts w:ascii="Times New Roman" w:hAnsi="Times New Roman"/>
                <w:color w:val="auto"/>
                <w:szCs w:val="20"/>
              </w:rPr>
              <w:t>东路变电站北侧线路沿线有部分泥沼。沿线植被主要有</w:t>
            </w:r>
            <w:r>
              <w:rPr>
                <w:rFonts w:hint="default" w:ascii="Times New Roman" w:hAnsi="Times New Roman" w:cs="Times New Roman"/>
                <w:color w:val="auto"/>
                <w:sz w:val="21"/>
                <w:szCs w:val="21"/>
              </w:rPr>
              <w:t>多以种植水稻、蔬菜为主，局部开挖成鱼塘</w:t>
            </w:r>
            <w:r>
              <w:rPr>
                <w:rFonts w:ascii="Times New Roman" w:hAnsi="Times New Roman"/>
                <w:color w:val="auto"/>
                <w:szCs w:val="20"/>
              </w:rPr>
              <w:t>，</w:t>
            </w:r>
            <w:r>
              <w:rPr>
                <w:rFonts w:hint="default" w:ascii="Times New Roman" w:hAnsi="Times New Roman" w:cs="Times New Roman"/>
                <w:color w:val="auto"/>
                <w:sz w:val="21"/>
                <w:szCs w:val="21"/>
              </w:rPr>
              <w:t>多种植有橡胶、椰子、芒果、荔枝、菠萝密、咖啡、黄皮、莲雾、槟榔等经济作物</w:t>
            </w:r>
            <w:r>
              <w:rPr>
                <w:rFonts w:ascii="Times New Roman" w:hAnsi="Times New Roman"/>
                <w:color w:val="auto"/>
              </w:rPr>
              <w:t>。</w:t>
            </w:r>
            <w:r>
              <w:rPr>
                <w:rFonts w:hint="eastAsia" w:ascii="Times New Roman" w:hAnsi="Times New Roman"/>
                <w:color w:val="auto"/>
              </w:rPr>
              <w:t>本工程沿线基本无高大树木，</w:t>
            </w:r>
            <w:r>
              <w:rPr>
                <w:rFonts w:hint="eastAsia" w:ascii="Times New Roman" w:hAnsi="Times New Roman"/>
                <w:color w:val="auto"/>
                <w:lang w:eastAsia="zh-CN"/>
              </w:rPr>
              <w:t>可</w:t>
            </w:r>
            <w:r>
              <w:rPr>
                <w:rFonts w:hint="eastAsia" w:ascii="Times New Roman" w:hAnsi="Times New Roman"/>
                <w:color w:val="auto"/>
              </w:rPr>
              <w:t>采用高跨方式，保证对生态影响降到最低。</w:t>
            </w:r>
            <w:r>
              <w:rPr>
                <w:rFonts w:hint="eastAsia" w:ascii="Times New Roman" w:hAnsi="Times New Roman"/>
                <w:color w:val="auto"/>
                <w:szCs w:val="20"/>
              </w:rPr>
              <w:t>施工期间杆塔基础平基、开挖，易造成杆塔四周环境失去原有自然状态，植被破坏、土壤疏松、水土流失；</w:t>
            </w:r>
            <w:r>
              <w:rPr>
                <w:rFonts w:hint="eastAsia" w:ascii="Times New Roman" w:hAnsi="Times New Roman"/>
                <w:color w:val="auto"/>
              </w:rPr>
              <w:t>施工时需制定合理的施工工期，避免由于风、雨天气可能造成的风蚀和水蚀。</w:t>
            </w:r>
            <w:r>
              <w:rPr>
                <w:rFonts w:ascii="Times New Roman" w:hAnsi="Times New Roman"/>
                <w:color w:val="auto"/>
                <w:szCs w:val="20"/>
              </w:rPr>
              <w:t>线路</w:t>
            </w:r>
            <w:r>
              <w:rPr>
                <w:rFonts w:hint="eastAsia" w:ascii="Times New Roman" w:hAnsi="Times New Roman"/>
                <w:color w:val="auto"/>
                <w:szCs w:val="20"/>
                <w:lang w:eastAsia="zh-CN"/>
              </w:rPr>
              <w:t>穿越</w:t>
            </w:r>
            <w:r>
              <w:rPr>
                <w:rFonts w:ascii="Times New Roman" w:hAnsi="Times New Roman"/>
                <w:color w:val="auto"/>
                <w:szCs w:val="20"/>
              </w:rPr>
              <w:t>海南省陆域生态保护红线区</w:t>
            </w:r>
            <w:r>
              <w:rPr>
                <w:rFonts w:hint="eastAsia" w:ascii="Times New Roman" w:hAnsi="Times New Roman"/>
                <w:color w:val="auto"/>
                <w:szCs w:val="20"/>
                <w:lang w:eastAsia="zh-CN"/>
              </w:rPr>
              <w:t>、南渡江龙塘</w:t>
            </w:r>
            <w:r>
              <w:rPr>
                <w:rFonts w:ascii="Times New Roman" w:hAnsi="Times New Roman"/>
                <w:color w:val="auto"/>
                <w:szCs w:val="20"/>
              </w:rPr>
              <w:t>饮用水水源保护区</w:t>
            </w:r>
            <w:r>
              <w:rPr>
                <w:rFonts w:hint="eastAsia" w:ascii="Times New Roman" w:hAnsi="Times New Roman"/>
                <w:color w:val="auto"/>
                <w:szCs w:val="20"/>
                <w:lang w:eastAsia="zh-CN"/>
              </w:rPr>
              <w:t>、羊山湿地多用途管理区</w:t>
            </w:r>
            <w:r>
              <w:rPr>
                <w:rFonts w:hint="eastAsia" w:ascii="Times New Roman" w:hAnsi="Times New Roman"/>
                <w:color w:val="auto"/>
                <w:lang w:eastAsia="zh-CN"/>
              </w:rPr>
              <w:t>和新旧沟湿地乡村公园，跨越新旧沟湿地保护小区和海口三十六曲溪省级湿地公园</w:t>
            </w:r>
            <w:r>
              <w:rPr>
                <w:rFonts w:ascii="Times New Roman" w:hAnsi="Times New Roman"/>
                <w:color w:val="auto"/>
              </w:rPr>
              <w:t>时，采取工程措施和植物措施相结合的方式，将水土流失程度降到最低。</w:t>
            </w:r>
            <w:r>
              <w:rPr>
                <w:rFonts w:hint="eastAsia" w:ascii="Times New Roman" w:hAnsi="Times New Roman"/>
                <w:color w:val="auto"/>
              </w:rPr>
              <w:t>架线完毕后，对施工临时场地进行全面清理。塔基除立塔四角处外均可以恢复植被，不会对植物物种多样性产生影响，对生态环境影响很小。</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Times New Roman" w:hAnsi="Times New Roman"/>
                <w:color w:val="auto"/>
              </w:rPr>
            </w:pPr>
            <w:r>
              <w:rPr>
                <w:rFonts w:ascii="Times New Roman" w:hAnsi="Times New Roman"/>
                <w:color w:val="auto"/>
                <w:kern w:val="0"/>
              </w:rPr>
              <w:t>本工程拆除</w:t>
            </w:r>
            <w:r>
              <w:rPr>
                <w:rFonts w:hint="eastAsia" w:ascii="Times New Roman" w:hAnsi="Times New Roman"/>
                <w:color w:val="auto"/>
                <w:kern w:val="0"/>
                <w:lang w:eastAsia="zh-CN"/>
              </w:rPr>
              <w:t>临时保电</w:t>
            </w:r>
            <w:r>
              <w:rPr>
                <w:rFonts w:ascii="Times New Roman" w:hAnsi="Times New Roman"/>
                <w:color w:val="auto"/>
                <w:kern w:val="0"/>
              </w:rPr>
              <w:t>线路</w:t>
            </w:r>
            <w:r>
              <w:rPr>
                <w:rFonts w:hint="eastAsia" w:ascii="Times New Roman" w:hAnsi="Times New Roman"/>
                <w:color w:val="auto"/>
                <w:kern w:val="0"/>
                <w:lang w:eastAsia="zh-CN"/>
              </w:rPr>
              <w:t>杆塔</w:t>
            </w:r>
            <w:r>
              <w:rPr>
                <w:rFonts w:hint="eastAsia" w:ascii="Times New Roman" w:hAnsi="Times New Roman"/>
                <w:color w:val="auto"/>
                <w:kern w:val="0"/>
                <w:lang w:val="en-US" w:eastAsia="zh-CN"/>
              </w:rPr>
              <w:t>4</w:t>
            </w:r>
            <w:r>
              <w:rPr>
                <w:rFonts w:ascii="Times New Roman" w:hAnsi="Times New Roman"/>
                <w:color w:val="auto"/>
                <w:kern w:val="0"/>
              </w:rPr>
              <w:t>基。拆除不开挖其塔基，以减轻对周围土壤和植被的影响。</w:t>
            </w:r>
          </w:p>
        </w:tc>
      </w:tr>
    </w:tbl>
    <w:p>
      <w:pPr>
        <w:outlineLvl w:val="0"/>
        <w:rPr>
          <w:rFonts w:hint="eastAsia" w:ascii="Times New Roman" w:hAnsi="Times New Roman"/>
          <w:b/>
          <w:color w:val="auto"/>
          <w:kern w:val="44"/>
          <w:sz w:val="28"/>
          <w:szCs w:val="28"/>
        </w:rPr>
      </w:pPr>
      <w:r>
        <w:rPr>
          <w:rFonts w:ascii="Times New Roman" w:hAnsi="Times New Roman"/>
          <w:color w:val="auto"/>
        </w:rPr>
        <w:br w:type="page"/>
      </w:r>
      <w:bookmarkStart w:id="31" w:name="_Toc339020808"/>
      <w:bookmarkStart w:id="32" w:name="_Toc522457753"/>
      <w:r>
        <w:rPr>
          <w:rStyle w:val="120"/>
          <w:rFonts w:hint="eastAsia" w:ascii="Times New Roman" w:hAnsi="Times New Roman"/>
          <w:color w:val="auto"/>
          <w:sz w:val="28"/>
        </w:rPr>
        <w:t>7</w:t>
      </w:r>
      <w:r>
        <w:rPr>
          <w:rFonts w:ascii="Times New Roman" w:hAnsi="Times New Roman"/>
          <w:b/>
          <w:color w:val="auto"/>
          <w:kern w:val="44"/>
          <w:sz w:val="28"/>
          <w:szCs w:val="28"/>
        </w:rPr>
        <w:t>环境影响</w:t>
      </w:r>
      <w:bookmarkEnd w:id="31"/>
      <w:r>
        <w:rPr>
          <w:rFonts w:hint="eastAsia" w:ascii="Times New Roman" w:hAnsi="Times New Roman"/>
          <w:b/>
          <w:color w:val="auto"/>
          <w:kern w:val="44"/>
          <w:sz w:val="28"/>
          <w:szCs w:val="28"/>
        </w:rPr>
        <w:t>评价</w:t>
      </w:r>
      <w:bookmarkEnd w:id="32"/>
    </w:p>
    <w:tbl>
      <w:tblPr>
        <w:tblStyle w:val="50"/>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93" w:hRule="atLeast"/>
        </w:trPr>
        <w:tc>
          <w:tcPr>
            <w:tcW w:w="8856" w:type="dxa"/>
            <w:vAlign w:val="top"/>
          </w:tcPr>
          <w:p>
            <w:pPr>
              <w:spacing w:line="360" w:lineRule="auto"/>
              <w:outlineLvl w:val="1"/>
              <w:rPr>
                <w:rFonts w:hint="eastAsia" w:ascii="Times New Roman" w:hAnsi="Times New Roman"/>
                <w:b/>
                <w:color w:val="auto"/>
                <w:sz w:val="24"/>
                <w:szCs w:val="24"/>
              </w:rPr>
            </w:pPr>
            <w:r>
              <w:rPr>
                <w:rFonts w:hint="eastAsia" w:ascii="Times New Roman" w:hAnsi="Times New Roman"/>
                <w:b/>
                <w:color w:val="auto"/>
                <w:sz w:val="24"/>
                <w:szCs w:val="24"/>
              </w:rPr>
              <w:t>7.1 施工期环境影响评价</w:t>
            </w:r>
          </w:p>
          <w:p>
            <w:pPr>
              <w:spacing w:line="360" w:lineRule="auto"/>
              <w:ind w:firstLine="420" w:firstLineChars="200"/>
              <w:rPr>
                <w:rFonts w:hint="eastAsia" w:ascii="Times New Roman" w:hAnsi="Times New Roman"/>
                <w:color w:val="auto"/>
              </w:rPr>
            </w:pPr>
            <w:r>
              <w:rPr>
                <w:rFonts w:ascii="Times New Roman" w:hAnsi="Times New Roman"/>
                <w:color w:val="auto"/>
                <w:szCs w:val="24"/>
              </w:rPr>
              <w:t>施工期主要污染因</w:t>
            </w:r>
            <w:r>
              <w:rPr>
                <w:rFonts w:hint="eastAsia" w:ascii="Times New Roman" w:hAnsi="Times New Roman"/>
                <w:color w:val="auto"/>
                <w:szCs w:val="24"/>
              </w:rPr>
              <w:t>子</w:t>
            </w:r>
            <w:r>
              <w:rPr>
                <w:rFonts w:ascii="Times New Roman" w:hAnsi="Times New Roman"/>
                <w:color w:val="auto"/>
                <w:szCs w:val="24"/>
              </w:rPr>
              <w:t>为：施工噪声、土地占用、扬尘、</w:t>
            </w:r>
            <w:r>
              <w:rPr>
                <w:rFonts w:ascii="Times New Roman" w:hAnsi="Times New Roman"/>
                <w:color w:val="auto"/>
              </w:rPr>
              <w:t>施工废水、</w:t>
            </w:r>
            <w:r>
              <w:rPr>
                <w:rFonts w:ascii="Times New Roman" w:hAnsi="Times New Roman"/>
                <w:color w:val="auto"/>
                <w:szCs w:val="24"/>
              </w:rPr>
              <w:t>固体废物等。</w:t>
            </w:r>
            <w:r>
              <w:rPr>
                <w:rFonts w:ascii="Times New Roman" w:hAnsi="Times New Roman"/>
                <w:color w:val="auto"/>
              </w:rPr>
              <w:t>随着施工期的结束，这部分影响也随之消失。</w:t>
            </w:r>
          </w:p>
          <w:p>
            <w:pPr>
              <w:spacing w:line="360" w:lineRule="auto"/>
              <w:rPr>
                <w:rFonts w:ascii="Times New Roman" w:hAnsi="Times New Roman"/>
                <w:b/>
                <w:color w:val="auto"/>
                <w:szCs w:val="24"/>
              </w:rPr>
            </w:pPr>
            <w:r>
              <w:rPr>
                <w:rFonts w:hint="eastAsia" w:ascii="Times New Roman" w:hAnsi="Times New Roman"/>
                <w:b/>
                <w:color w:val="auto"/>
                <w:szCs w:val="24"/>
              </w:rPr>
              <w:t>7.1.1</w:t>
            </w:r>
            <w:r>
              <w:rPr>
                <w:rFonts w:ascii="Times New Roman" w:hAnsi="Times New Roman"/>
                <w:b/>
                <w:color w:val="auto"/>
                <w:szCs w:val="24"/>
              </w:rPr>
              <w:t>施工期声环境影响分析：</w:t>
            </w:r>
          </w:p>
          <w:p>
            <w:pPr>
              <w:spacing w:line="360" w:lineRule="auto"/>
              <w:ind w:firstLine="420" w:firstLineChars="200"/>
              <w:rPr>
                <w:rFonts w:ascii="Times New Roman" w:hAnsi="Times New Roman"/>
                <w:color w:val="auto"/>
                <w:szCs w:val="24"/>
              </w:rPr>
            </w:pPr>
            <w:r>
              <w:rPr>
                <w:rFonts w:ascii="Times New Roman" w:hAnsi="Times New Roman"/>
                <w:color w:val="auto"/>
                <w:szCs w:val="24"/>
              </w:rPr>
              <w:t>（1）施工期声环境污染源</w:t>
            </w:r>
          </w:p>
          <w:p>
            <w:pPr>
              <w:spacing w:line="360" w:lineRule="auto"/>
              <w:ind w:firstLine="420" w:firstLineChars="200"/>
              <w:rPr>
                <w:rFonts w:ascii="Times New Roman" w:hAnsi="Times New Roman"/>
                <w:color w:val="auto"/>
                <w:szCs w:val="20"/>
              </w:rPr>
            </w:pPr>
            <w:r>
              <w:rPr>
                <w:rFonts w:hint="eastAsia" w:ascii="Times New Roman" w:hAnsi="Times New Roman"/>
                <w:color w:val="auto"/>
                <w:szCs w:val="20"/>
              </w:rPr>
              <w:t>220kV</w:t>
            </w:r>
            <w:r>
              <w:rPr>
                <w:rFonts w:ascii="Times New Roman" w:hAnsi="Times New Roman"/>
                <w:color w:val="auto"/>
                <w:szCs w:val="20"/>
              </w:rPr>
              <w:t>线路施工中的主要噪声源有车辆运输产生的噪声以及基础、架线施工中各种机具的设备产生的噪声等</w:t>
            </w:r>
            <w:r>
              <w:rPr>
                <w:rFonts w:hint="eastAsia" w:ascii="Times New Roman" w:hAnsi="Times New Roman"/>
                <w:color w:val="auto"/>
                <w:szCs w:val="20"/>
              </w:rPr>
              <w:t>，随着施工期的结束，其对环境的影响也将随之消失。</w:t>
            </w:r>
          </w:p>
          <w:p>
            <w:pPr>
              <w:spacing w:line="360" w:lineRule="auto"/>
              <w:ind w:firstLine="420" w:firstLineChars="200"/>
              <w:rPr>
                <w:rFonts w:ascii="Times New Roman" w:hAnsi="Times New Roman"/>
                <w:color w:val="auto"/>
              </w:rPr>
            </w:pPr>
            <w:r>
              <w:rPr>
                <w:rFonts w:hint="eastAsia" w:ascii="Times New Roman" w:hAnsi="Times New Roman"/>
                <w:color w:val="auto"/>
                <w:szCs w:val="20"/>
              </w:rPr>
              <w:t>输电线路建设</w:t>
            </w:r>
            <w:r>
              <w:rPr>
                <w:rFonts w:ascii="Times New Roman" w:hAnsi="Times New Roman"/>
                <w:color w:val="auto"/>
                <w:szCs w:val="20"/>
              </w:rPr>
              <w:t>期需动用大量的车辆及施工机具，其噪声强度较大，声源较多，在一定范围内会对周围声环境产生影响</w:t>
            </w:r>
            <w:r>
              <w:rPr>
                <w:rFonts w:hint="eastAsia" w:ascii="Times New Roman" w:hAnsi="Times New Roman"/>
                <w:color w:val="auto"/>
                <w:szCs w:val="20"/>
              </w:rPr>
              <w:t>，</w:t>
            </w:r>
            <w:r>
              <w:rPr>
                <w:rFonts w:ascii="Times New Roman" w:hAnsi="Times New Roman"/>
                <w:color w:val="auto"/>
              </w:rPr>
              <w:t>根据《环境噪声与振动控制工程技术导则》（HJ 2034-2013），其声源声功率级及施工期场界环境噪声排放限值见表7-1所示。</w:t>
            </w:r>
          </w:p>
          <w:p>
            <w:pPr>
              <w:snapToGrid w:val="0"/>
              <w:jc w:val="center"/>
              <w:rPr>
                <w:rFonts w:ascii="Times New Roman" w:hAnsi="Times New Roman"/>
                <w:b/>
                <w:bCs/>
                <w:color w:val="auto"/>
              </w:rPr>
            </w:pPr>
            <w:r>
              <w:rPr>
                <w:rFonts w:ascii="Times New Roman" w:hAnsi="Times New Roman"/>
                <w:b/>
                <w:bCs/>
                <w:color w:val="auto"/>
              </w:rPr>
              <w:t>表7-1 主要施工机械噪声声源标准  单位：dB（A）</w:t>
            </w:r>
          </w:p>
          <w:tbl>
            <w:tblPr>
              <w:tblStyle w:val="50"/>
              <w:tblW w:w="8017" w:type="dxa"/>
              <w:jc w:val="center"/>
              <w:tblInd w:w="0" w:type="dxa"/>
              <w:tblLayout w:type="fixed"/>
              <w:tblCellMar>
                <w:top w:w="0" w:type="dxa"/>
                <w:left w:w="108" w:type="dxa"/>
                <w:bottom w:w="0" w:type="dxa"/>
                <w:right w:w="108" w:type="dxa"/>
              </w:tblCellMar>
            </w:tblPr>
            <w:tblGrid>
              <w:gridCol w:w="1696"/>
              <w:gridCol w:w="1560"/>
              <w:gridCol w:w="1417"/>
              <w:gridCol w:w="1976"/>
              <w:gridCol w:w="1368"/>
            </w:tblGrid>
            <w:tr>
              <w:tblPrEx>
                <w:tblLayout w:type="fixed"/>
                <w:tblCellMar>
                  <w:top w:w="0" w:type="dxa"/>
                  <w:left w:w="108" w:type="dxa"/>
                  <w:bottom w:w="0" w:type="dxa"/>
                  <w:right w:w="108" w:type="dxa"/>
                </w:tblCellMar>
              </w:tblPrEx>
              <w:trPr>
                <w:trHeight w:val="195" w:hRule="atLeast"/>
                <w:jc w:val="center"/>
              </w:trPr>
              <w:tc>
                <w:tcPr>
                  <w:tcW w:w="169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设备名称</w:t>
                  </w:r>
                </w:p>
              </w:tc>
              <w:tc>
                <w:tcPr>
                  <w:tcW w:w="1560" w:type="dxa"/>
                  <w:vMerge w:val="restart"/>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距声源5m</w:t>
                  </w:r>
                </w:p>
              </w:tc>
              <w:tc>
                <w:tcPr>
                  <w:tcW w:w="1417" w:type="dxa"/>
                  <w:vMerge w:val="restart"/>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距声源10m</w:t>
                  </w:r>
                </w:p>
              </w:tc>
              <w:tc>
                <w:tcPr>
                  <w:tcW w:w="3344"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建筑施工场界环境噪声排放标准（GB12523-2011）</w:t>
                  </w:r>
                </w:p>
              </w:tc>
            </w:tr>
            <w:tr>
              <w:tblPrEx>
                <w:tblLayout w:type="fixed"/>
                <w:tblCellMar>
                  <w:top w:w="0" w:type="dxa"/>
                  <w:left w:w="108" w:type="dxa"/>
                  <w:bottom w:w="0" w:type="dxa"/>
                  <w:right w:w="108" w:type="dxa"/>
                </w:tblCellMar>
              </w:tblPrEx>
              <w:trPr>
                <w:trHeight w:val="130" w:hRule="atLeast"/>
                <w:jc w:val="center"/>
              </w:trPr>
              <w:tc>
                <w:tcPr>
                  <w:tcW w:w="169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auto"/>
                    </w:rPr>
                  </w:pPr>
                </w:p>
              </w:tc>
              <w:tc>
                <w:tcPr>
                  <w:tcW w:w="1560" w:type="dxa"/>
                  <w:vMerge w:val="continue"/>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rPr>
                  </w:pPr>
                </w:p>
              </w:tc>
              <w:tc>
                <w:tcPr>
                  <w:tcW w:w="1417" w:type="dxa"/>
                  <w:vMerge w:val="continue"/>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olor w:val="auto"/>
                    </w:rPr>
                  </w:pPr>
                </w:p>
              </w:tc>
              <w:tc>
                <w:tcPr>
                  <w:tcW w:w="1976"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昼间</w:t>
                  </w:r>
                </w:p>
              </w:tc>
              <w:tc>
                <w:tcPr>
                  <w:tcW w:w="1368"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夜间</w:t>
                  </w:r>
                </w:p>
              </w:tc>
            </w:tr>
            <w:tr>
              <w:tblPrEx>
                <w:tblLayout w:type="fixed"/>
                <w:tblCellMar>
                  <w:top w:w="0" w:type="dxa"/>
                  <w:left w:w="108" w:type="dxa"/>
                  <w:bottom w:w="0" w:type="dxa"/>
                  <w:right w:w="108" w:type="dxa"/>
                </w:tblCellMar>
              </w:tblPrEx>
              <w:trPr>
                <w:trHeight w:val="340"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重型运输车</w:t>
                  </w:r>
                </w:p>
              </w:tc>
              <w:tc>
                <w:tcPr>
                  <w:tcW w:w="1560"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82~90</w:t>
                  </w:r>
                </w:p>
              </w:tc>
              <w:tc>
                <w:tcPr>
                  <w:tcW w:w="1417"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78~86</w:t>
                  </w:r>
                </w:p>
              </w:tc>
              <w:tc>
                <w:tcPr>
                  <w:tcW w:w="1976" w:type="dxa"/>
                  <w:vMerge w:val="restart"/>
                  <w:tcBorders>
                    <w:top w:val="nil"/>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70</w:t>
                  </w:r>
                </w:p>
              </w:tc>
              <w:tc>
                <w:tcPr>
                  <w:tcW w:w="1368" w:type="dxa"/>
                  <w:vMerge w:val="restart"/>
                  <w:tcBorders>
                    <w:top w:val="nil"/>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55</w:t>
                  </w:r>
                </w:p>
              </w:tc>
            </w:tr>
            <w:tr>
              <w:tblPrEx>
                <w:tblLayout w:type="fixed"/>
                <w:tblCellMar>
                  <w:top w:w="0" w:type="dxa"/>
                  <w:left w:w="108" w:type="dxa"/>
                  <w:bottom w:w="0" w:type="dxa"/>
                  <w:right w:w="108" w:type="dxa"/>
                </w:tblCellMar>
              </w:tblPrEx>
              <w:trPr>
                <w:trHeight w:val="340"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挖掘机</w:t>
                  </w:r>
                </w:p>
              </w:tc>
              <w:tc>
                <w:tcPr>
                  <w:tcW w:w="1560"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82~90</w:t>
                  </w:r>
                </w:p>
              </w:tc>
              <w:tc>
                <w:tcPr>
                  <w:tcW w:w="1417"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78~86</w:t>
                  </w:r>
                </w:p>
              </w:tc>
              <w:tc>
                <w:tcPr>
                  <w:tcW w:w="1976"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olor w:val="auto"/>
                    </w:rPr>
                  </w:pPr>
                </w:p>
              </w:tc>
              <w:tc>
                <w:tcPr>
                  <w:tcW w:w="1368"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olor w:val="auto"/>
                    </w:rPr>
                  </w:pPr>
                </w:p>
              </w:tc>
            </w:tr>
          </w:tbl>
          <w:p>
            <w:pPr>
              <w:snapToGrid w:val="0"/>
              <w:spacing w:before="156" w:beforeLines="50" w:line="360" w:lineRule="auto"/>
              <w:ind w:firstLine="420" w:firstLineChars="200"/>
              <w:contextualSpacing/>
              <w:rPr>
                <w:rFonts w:ascii="Times New Roman" w:hAnsi="Times New Roman"/>
                <w:color w:val="auto"/>
              </w:rPr>
            </w:pPr>
            <w:r>
              <w:rPr>
                <w:rFonts w:ascii="Times New Roman" w:hAnsi="Times New Roman"/>
                <w:color w:val="auto"/>
              </w:rPr>
              <w:t>（2）施工噪声预测计算模式</w:t>
            </w:r>
          </w:p>
          <w:p>
            <w:pPr>
              <w:spacing w:line="360" w:lineRule="auto"/>
              <w:ind w:firstLine="420" w:firstLineChars="200"/>
              <w:rPr>
                <w:rFonts w:ascii="Times New Roman" w:hAnsi="Times New Roman"/>
                <w:color w:val="auto"/>
              </w:rPr>
            </w:pPr>
            <w:r>
              <w:rPr>
                <w:rFonts w:ascii="Times New Roman" w:hAnsi="Times New Roman"/>
                <w:color w:val="auto"/>
              </w:rPr>
              <w:t>根据HJ2.4-2009《环境影响评价技术导则  声环境》，施工噪声预测计算公式如下：</w:t>
            </w:r>
          </w:p>
          <w:p>
            <w:pPr>
              <w:spacing w:line="360" w:lineRule="auto"/>
              <w:ind w:firstLine="420" w:firstLineChars="200"/>
              <w:rPr>
                <w:rFonts w:ascii="Times New Roman" w:hAnsi="Times New Roman"/>
                <w:color w:val="auto"/>
              </w:rPr>
            </w:pPr>
            <w:r>
              <w:rPr>
                <w:rFonts w:ascii="Times New Roman" w:hAnsi="Times New Roman"/>
                <w:color w:val="auto"/>
              </w:rPr>
              <w:t>单个声源噪声影响预测计算公式如下：</w:t>
            </w:r>
          </w:p>
          <w:p>
            <w:pPr>
              <w:jc w:val="center"/>
              <w:rPr>
                <w:rFonts w:ascii="Times New Roman" w:hAnsi="Times New Roman"/>
                <w:color w:val="auto"/>
              </w:rPr>
            </w:pPr>
            <w:r>
              <w:rPr>
                <w:rFonts w:ascii="Times New Roman" w:hAnsi="Times New Roman"/>
                <w:color w:val="auto"/>
              </w:rPr>
              <w:drawing>
                <wp:inline distT="0" distB="0" distL="114300" distR="114300">
                  <wp:extent cx="1219200" cy="409575"/>
                  <wp:effectExtent l="0" t="0" r="0" b="8255"/>
                  <wp:docPr id="31" name="图片 5" descr="wps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wps5CA"/>
                          <pic:cNvPicPr>
                            <a:picLocks noChangeAspect="1"/>
                          </pic:cNvPicPr>
                        </pic:nvPicPr>
                        <pic:blipFill>
                          <a:blip r:embed="rId24"/>
                          <a:stretch>
                            <a:fillRect/>
                          </a:stretch>
                        </pic:blipFill>
                        <pic:spPr>
                          <a:xfrm>
                            <a:off x="0" y="0"/>
                            <a:ext cx="1219200" cy="409575"/>
                          </a:xfrm>
                          <a:prstGeom prst="rect">
                            <a:avLst/>
                          </a:prstGeom>
                          <a:noFill/>
                          <a:ln>
                            <a:noFill/>
                          </a:ln>
                        </pic:spPr>
                      </pic:pic>
                    </a:graphicData>
                  </a:graphic>
                </wp:inline>
              </w:drawing>
            </w:r>
          </w:p>
          <w:p>
            <w:pPr>
              <w:spacing w:line="360" w:lineRule="auto"/>
              <w:ind w:firstLine="420" w:firstLineChars="200"/>
              <w:rPr>
                <w:rFonts w:ascii="Times New Roman" w:hAnsi="Times New Roman"/>
                <w:color w:val="auto"/>
              </w:rPr>
            </w:pPr>
            <w:r>
              <w:rPr>
                <w:rFonts w:ascii="Times New Roman" w:hAnsi="Times New Roman"/>
                <w:color w:val="auto"/>
              </w:rPr>
              <w:t>式中：L</w:t>
            </w:r>
            <w:r>
              <w:rPr>
                <w:rFonts w:ascii="Times New Roman" w:hAnsi="Times New Roman"/>
                <w:color w:val="auto"/>
                <w:vertAlign w:val="subscript"/>
              </w:rPr>
              <w:t>0</w:t>
            </w:r>
            <w:r>
              <w:rPr>
                <w:rFonts w:ascii="Times New Roman" w:hAnsi="Times New Roman"/>
                <w:color w:val="auto"/>
              </w:rPr>
              <w:t>——为距施工设备r</w:t>
            </w:r>
            <w:r>
              <w:rPr>
                <w:rFonts w:ascii="Times New Roman" w:hAnsi="Times New Roman"/>
                <w:color w:val="auto"/>
                <w:vertAlign w:val="subscript"/>
              </w:rPr>
              <w:t>0</w:t>
            </w:r>
            <w:r>
              <w:rPr>
                <w:rFonts w:ascii="Times New Roman" w:hAnsi="Times New Roman"/>
                <w:color w:val="auto"/>
              </w:rPr>
              <w:t>（m）处的噪声级，dB；</w:t>
            </w:r>
          </w:p>
          <w:p>
            <w:pPr>
              <w:spacing w:line="360" w:lineRule="auto"/>
              <w:ind w:firstLine="200"/>
              <w:rPr>
                <w:rFonts w:ascii="Times New Roman" w:hAnsi="Times New Roman"/>
                <w:color w:val="auto"/>
              </w:rPr>
            </w:pPr>
            <w:r>
              <w:rPr>
                <w:rFonts w:ascii="Times New Roman" w:hAnsi="Times New Roman"/>
                <w:color w:val="auto"/>
              </w:rPr>
              <w:t xml:space="preserve">        L——为与声源相距r（m）处的施工噪声级，dB。</w:t>
            </w:r>
          </w:p>
          <w:p>
            <w:pPr>
              <w:spacing w:line="360" w:lineRule="auto"/>
              <w:ind w:firstLine="200"/>
              <w:rPr>
                <w:rFonts w:ascii="Times New Roman" w:hAnsi="Times New Roman"/>
                <w:color w:val="auto"/>
              </w:rPr>
            </w:pPr>
            <w:r>
              <w:rPr>
                <w:rFonts w:ascii="Times New Roman" w:hAnsi="Times New Roman"/>
                <w:color w:val="auto"/>
              </w:rPr>
              <w:t>（3）施工噪声预测计算结果与分析</w:t>
            </w:r>
          </w:p>
          <w:p>
            <w:pPr>
              <w:spacing w:line="360" w:lineRule="auto"/>
              <w:ind w:firstLine="420"/>
              <w:rPr>
                <w:rFonts w:hint="eastAsia" w:ascii="Times New Roman" w:hAnsi="Times New Roman"/>
                <w:color w:val="auto"/>
              </w:rPr>
            </w:pPr>
            <w:r>
              <w:rPr>
                <w:rFonts w:ascii="Times New Roman" w:hAnsi="Times New Roman"/>
                <w:color w:val="auto"/>
              </w:rPr>
              <w:t>根据施工使用情况，利用表7-1中主要施工机械噪声声源标准资料作为声源参数，根据（2）中的施工噪声预测模式进行预测，计算出与声源在不同距离出的施工噪声影响水平预测结果计算出来，如表7-2所列。</w:t>
            </w:r>
          </w:p>
          <w:p>
            <w:pPr>
              <w:jc w:val="center"/>
              <w:rPr>
                <w:rFonts w:ascii="Times New Roman" w:hAnsi="Times New Roman"/>
                <w:b/>
                <w:bCs/>
                <w:color w:val="auto"/>
              </w:rPr>
            </w:pPr>
            <w:r>
              <w:rPr>
                <w:rFonts w:ascii="Times New Roman" w:hAnsi="Times New Roman"/>
                <w:b/>
                <w:bCs/>
                <w:color w:val="auto"/>
              </w:rPr>
              <w:t>表7-2 不同声源等级dB(A)在不同距离（m）的噪声影响水平</w:t>
            </w:r>
          </w:p>
          <w:tbl>
            <w:tblPr>
              <w:tblStyle w:val="50"/>
              <w:tblW w:w="8049" w:type="dxa"/>
              <w:jc w:val="center"/>
              <w:tblInd w:w="0" w:type="dxa"/>
              <w:tblLayout w:type="fixed"/>
              <w:tblCellMar>
                <w:top w:w="0" w:type="dxa"/>
                <w:left w:w="57" w:type="dxa"/>
                <w:bottom w:w="0" w:type="dxa"/>
                <w:right w:w="57" w:type="dxa"/>
              </w:tblCellMar>
            </w:tblPr>
            <w:tblGrid>
              <w:gridCol w:w="1138"/>
              <w:gridCol w:w="1388"/>
              <w:gridCol w:w="504"/>
              <w:gridCol w:w="700"/>
              <w:gridCol w:w="581"/>
              <w:gridCol w:w="581"/>
              <w:gridCol w:w="581"/>
              <w:gridCol w:w="581"/>
              <w:gridCol w:w="581"/>
              <w:gridCol w:w="707"/>
              <w:gridCol w:w="707"/>
            </w:tblGrid>
            <w:tr>
              <w:tblPrEx>
                <w:tblLayout w:type="fixed"/>
                <w:tblCellMar>
                  <w:top w:w="0" w:type="dxa"/>
                  <w:left w:w="57" w:type="dxa"/>
                  <w:bottom w:w="0" w:type="dxa"/>
                  <w:right w:w="57" w:type="dxa"/>
                </w:tblCellMar>
              </w:tblPrEx>
              <w:trPr>
                <w:trHeight w:val="340" w:hRule="atLeast"/>
                <w:jc w:val="center"/>
              </w:trPr>
              <w:tc>
                <w:tcPr>
                  <w:tcW w:w="113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施工阶段</w:t>
                  </w:r>
                </w:p>
              </w:tc>
              <w:tc>
                <w:tcPr>
                  <w:tcW w:w="1388"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施工机械</w:t>
                  </w:r>
                </w:p>
              </w:tc>
              <w:tc>
                <w:tcPr>
                  <w:tcW w:w="50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5m</w:t>
                  </w:r>
                </w:p>
              </w:tc>
              <w:tc>
                <w:tcPr>
                  <w:tcW w:w="700"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10m</w:t>
                  </w:r>
                </w:p>
              </w:tc>
              <w:tc>
                <w:tcPr>
                  <w:tcW w:w="58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20m</w:t>
                  </w:r>
                </w:p>
              </w:tc>
              <w:tc>
                <w:tcPr>
                  <w:tcW w:w="58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30m</w:t>
                  </w:r>
                </w:p>
              </w:tc>
              <w:tc>
                <w:tcPr>
                  <w:tcW w:w="58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40m</w:t>
                  </w:r>
                </w:p>
              </w:tc>
              <w:tc>
                <w:tcPr>
                  <w:tcW w:w="58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50m</w:t>
                  </w:r>
                </w:p>
              </w:tc>
              <w:tc>
                <w:tcPr>
                  <w:tcW w:w="58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80m</w:t>
                  </w:r>
                </w:p>
              </w:tc>
              <w:tc>
                <w:tcPr>
                  <w:tcW w:w="707"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100m</w:t>
                  </w:r>
                </w:p>
              </w:tc>
              <w:tc>
                <w:tcPr>
                  <w:tcW w:w="707"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150m</w:t>
                  </w:r>
                </w:p>
              </w:tc>
            </w:tr>
            <w:tr>
              <w:tblPrEx>
                <w:tblLayout w:type="fixed"/>
                <w:tblCellMar>
                  <w:top w:w="0" w:type="dxa"/>
                  <w:left w:w="57" w:type="dxa"/>
                  <w:bottom w:w="0" w:type="dxa"/>
                  <w:right w:w="57" w:type="dxa"/>
                </w:tblCellMar>
              </w:tblPrEx>
              <w:trPr>
                <w:trHeight w:val="340" w:hRule="atLeast"/>
                <w:jc w:val="center"/>
              </w:trPr>
              <w:tc>
                <w:tcPr>
                  <w:tcW w:w="113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运输</w:t>
                  </w:r>
                </w:p>
              </w:tc>
              <w:tc>
                <w:tcPr>
                  <w:tcW w:w="1388"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重型运输车</w:t>
                  </w:r>
                </w:p>
              </w:tc>
              <w:tc>
                <w:tcPr>
                  <w:tcW w:w="50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90</w:t>
                  </w:r>
                </w:p>
              </w:tc>
              <w:tc>
                <w:tcPr>
                  <w:tcW w:w="700"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 xml:space="preserve">84.0 </w:t>
                  </w:r>
                </w:p>
              </w:tc>
              <w:tc>
                <w:tcPr>
                  <w:tcW w:w="58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 xml:space="preserve">78.0 </w:t>
                  </w:r>
                </w:p>
              </w:tc>
              <w:tc>
                <w:tcPr>
                  <w:tcW w:w="58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 xml:space="preserve">74.4 </w:t>
                  </w:r>
                </w:p>
              </w:tc>
              <w:tc>
                <w:tcPr>
                  <w:tcW w:w="58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 xml:space="preserve">71.9 </w:t>
                  </w:r>
                </w:p>
              </w:tc>
              <w:tc>
                <w:tcPr>
                  <w:tcW w:w="58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 xml:space="preserve">70.0 </w:t>
                  </w:r>
                </w:p>
              </w:tc>
              <w:tc>
                <w:tcPr>
                  <w:tcW w:w="58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 xml:space="preserve">65.9 </w:t>
                  </w:r>
                </w:p>
              </w:tc>
              <w:tc>
                <w:tcPr>
                  <w:tcW w:w="707"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 xml:space="preserve">64.0 </w:t>
                  </w:r>
                </w:p>
              </w:tc>
              <w:tc>
                <w:tcPr>
                  <w:tcW w:w="707"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hint="eastAsia" w:ascii="Times New Roman" w:hAnsi="Times New Roman"/>
                      <w:color w:val="auto"/>
                    </w:rPr>
                    <w:t xml:space="preserve">60.5 </w:t>
                  </w:r>
                </w:p>
              </w:tc>
            </w:tr>
            <w:tr>
              <w:tblPrEx>
                <w:tblLayout w:type="fixed"/>
                <w:tblCellMar>
                  <w:top w:w="0" w:type="dxa"/>
                  <w:left w:w="57" w:type="dxa"/>
                  <w:bottom w:w="0" w:type="dxa"/>
                  <w:right w:w="57" w:type="dxa"/>
                </w:tblCellMar>
              </w:tblPrEx>
              <w:trPr>
                <w:trHeight w:val="340" w:hRule="atLeast"/>
                <w:jc w:val="center"/>
              </w:trPr>
              <w:tc>
                <w:tcPr>
                  <w:tcW w:w="113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土石方</w:t>
                  </w:r>
                </w:p>
              </w:tc>
              <w:tc>
                <w:tcPr>
                  <w:tcW w:w="1388"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挖掘机</w:t>
                  </w:r>
                </w:p>
              </w:tc>
              <w:tc>
                <w:tcPr>
                  <w:tcW w:w="50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90</w:t>
                  </w:r>
                </w:p>
              </w:tc>
              <w:tc>
                <w:tcPr>
                  <w:tcW w:w="700"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84.0</w:t>
                  </w:r>
                </w:p>
              </w:tc>
              <w:tc>
                <w:tcPr>
                  <w:tcW w:w="58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78.0</w:t>
                  </w:r>
                </w:p>
              </w:tc>
              <w:tc>
                <w:tcPr>
                  <w:tcW w:w="58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78.0</w:t>
                  </w:r>
                </w:p>
              </w:tc>
              <w:tc>
                <w:tcPr>
                  <w:tcW w:w="58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71.9</w:t>
                  </w:r>
                </w:p>
              </w:tc>
              <w:tc>
                <w:tcPr>
                  <w:tcW w:w="58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70.0</w:t>
                  </w:r>
                </w:p>
              </w:tc>
              <w:tc>
                <w:tcPr>
                  <w:tcW w:w="58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65.9</w:t>
                  </w:r>
                </w:p>
              </w:tc>
              <w:tc>
                <w:tcPr>
                  <w:tcW w:w="707"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64.0</w:t>
                  </w:r>
                </w:p>
              </w:tc>
              <w:tc>
                <w:tcPr>
                  <w:tcW w:w="707"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60.5</w:t>
                  </w:r>
                </w:p>
              </w:tc>
            </w:tr>
          </w:tbl>
          <w:p>
            <w:pPr>
              <w:snapToGrid w:val="0"/>
              <w:spacing w:line="360" w:lineRule="auto"/>
              <w:ind w:firstLine="420" w:firstLineChars="200"/>
              <w:contextualSpacing/>
              <w:rPr>
                <w:rFonts w:ascii="Times New Roman" w:hAnsi="Times New Roman"/>
                <w:color w:val="auto"/>
              </w:rPr>
            </w:pPr>
            <w:r>
              <w:rPr>
                <w:rFonts w:ascii="Times New Roman" w:hAnsi="Times New Roman"/>
                <w:color w:val="auto"/>
              </w:rPr>
              <w:t>本工程施工使用商品混凝土。由表7-2可知，在使用运输车辆、挖土机时，白天在距离声源50m处时能满足《建筑施工场界环境噪声排放标准》（GB12523-2011）要求。</w:t>
            </w:r>
          </w:p>
          <w:p>
            <w:pPr>
              <w:snapToGrid w:val="0"/>
              <w:spacing w:line="360" w:lineRule="auto"/>
              <w:ind w:firstLine="420" w:firstLineChars="200"/>
              <w:contextualSpacing/>
              <w:rPr>
                <w:rFonts w:ascii="Times New Roman" w:hAnsi="Times New Roman"/>
                <w:color w:val="auto"/>
              </w:rPr>
            </w:pPr>
            <w:r>
              <w:rPr>
                <w:rFonts w:hint="eastAsia" w:ascii="Times New Roman" w:hAnsi="Times New Roman"/>
                <w:color w:val="auto"/>
              </w:rPr>
              <w:t>输电</w:t>
            </w:r>
            <w:r>
              <w:rPr>
                <w:rFonts w:ascii="Times New Roman" w:hAnsi="Times New Roman"/>
                <w:color w:val="auto"/>
              </w:rPr>
              <w:t>线路施工中的主要噪声源有工地运输的噪声以及基础、架线施工中各种机具的设备噪声等，线路施工中应注意运输噪声对周围声环境的影响</w:t>
            </w:r>
            <w:r>
              <w:rPr>
                <w:rFonts w:hint="eastAsia" w:ascii="Times New Roman" w:hAnsi="Times New Roman"/>
                <w:color w:val="auto"/>
              </w:rPr>
              <w:t>，在途经居民区</w:t>
            </w:r>
            <w:r>
              <w:rPr>
                <w:rFonts w:ascii="Times New Roman" w:hAnsi="Times New Roman"/>
                <w:color w:val="auto"/>
              </w:rPr>
              <w:t>等</w:t>
            </w:r>
            <w:r>
              <w:rPr>
                <w:rFonts w:hint="eastAsia" w:ascii="Times New Roman" w:hAnsi="Times New Roman"/>
                <w:color w:val="auto"/>
              </w:rPr>
              <w:t>敏感点时，应采取限时、限速行驶、不高音鸣号等措施，以确保其施工场界的噪声排放满足</w:t>
            </w:r>
            <w:r>
              <w:rPr>
                <w:rFonts w:ascii="Times New Roman" w:hAnsi="Times New Roman"/>
                <w:color w:val="auto"/>
              </w:rPr>
              <w:t xml:space="preserve"> </w:t>
            </w:r>
            <w:r>
              <w:rPr>
                <w:rFonts w:hint="eastAsia" w:ascii="Times New Roman" w:hAnsi="Times New Roman"/>
                <w:color w:val="auto"/>
              </w:rPr>
              <w:t>《建筑施工场界环境噪声排放标准》（GB12523-2011）的</w:t>
            </w:r>
            <w:r>
              <w:rPr>
                <w:rFonts w:ascii="Times New Roman" w:hAnsi="Times New Roman"/>
                <w:color w:val="auto"/>
              </w:rPr>
              <w:t>要求，</w:t>
            </w:r>
            <w:r>
              <w:rPr>
                <w:rFonts w:hint="eastAsia" w:ascii="Times New Roman" w:hAnsi="Times New Roman"/>
                <w:color w:val="auto"/>
              </w:rPr>
              <w:t>并</w:t>
            </w:r>
            <w:r>
              <w:rPr>
                <w:rFonts w:ascii="Times New Roman" w:hAnsi="Times New Roman"/>
                <w:color w:val="auto"/>
              </w:rPr>
              <w:t>使</w:t>
            </w:r>
            <w:r>
              <w:rPr>
                <w:rFonts w:hint="eastAsia" w:ascii="Times New Roman" w:hAnsi="Times New Roman"/>
                <w:color w:val="auto"/>
              </w:rPr>
              <w:t>环境</w:t>
            </w:r>
            <w:r>
              <w:rPr>
                <w:rFonts w:ascii="Times New Roman" w:hAnsi="Times New Roman"/>
                <w:color w:val="auto"/>
              </w:rPr>
              <w:t>保护目标处</w:t>
            </w:r>
            <w:r>
              <w:rPr>
                <w:rFonts w:hint="eastAsia" w:ascii="Times New Roman" w:hAnsi="Times New Roman"/>
                <w:color w:val="auto"/>
              </w:rPr>
              <w:t>声环境</w:t>
            </w:r>
            <w:r>
              <w:rPr>
                <w:rFonts w:ascii="Times New Roman" w:hAnsi="Times New Roman"/>
                <w:color w:val="auto"/>
              </w:rPr>
              <w:t>质量</w:t>
            </w:r>
            <w:r>
              <w:rPr>
                <w:rFonts w:hint="eastAsia" w:ascii="Times New Roman" w:hAnsi="Times New Roman"/>
                <w:color w:val="auto"/>
              </w:rPr>
              <w:t>满足《声环境质量标准》（GB3096-2008）相应</w:t>
            </w:r>
            <w:r>
              <w:rPr>
                <w:rFonts w:ascii="Times New Roman" w:hAnsi="Times New Roman"/>
                <w:color w:val="auto"/>
              </w:rPr>
              <w:t>的标准</w:t>
            </w:r>
            <w:r>
              <w:rPr>
                <w:rFonts w:hint="eastAsia" w:ascii="Times New Roman" w:hAnsi="Times New Roman"/>
                <w:color w:val="auto"/>
              </w:rPr>
              <w:t>要求</w:t>
            </w:r>
            <w:r>
              <w:rPr>
                <w:rFonts w:ascii="Times New Roman" w:hAnsi="Times New Roman"/>
                <w:color w:val="auto"/>
              </w:rPr>
              <w:t>。</w:t>
            </w:r>
            <w:r>
              <w:rPr>
                <w:rFonts w:hint="eastAsia" w:ascii="Times New Roman" w:hAnsi="Times New Roman"/>
                <w:color w:val="auto"/>
              </w:rPr>
              <w:t>在架线施工过程中，各牵张场内的牵张机等设备产生一定的机械噪声，其声级一般小于70dB（A），</w:t>
            </w:r>
            <w:r>
              <w:rPr>
                <w:rFonts w:ascii="Times New Roman" w:hAnsi="Times New Roman"/>
                <w:color w:val="auto"/>
              </w:rPr>
              <w:t>施工时需采用低噪声设备，尽量远离环境保护目标布置。本工程</w:t>
            </w:r>
            <w:r>
              <w:rPr>
                <w:rFonts w:hint="eastAsia" w:ascii="Times New Roman" w:hAnsi="Times New Roman"/>
                <w:color w:val="auto"/>
              </w:rPr>
              <w:t>输电线路</w:t>
            </w:r>
            <w:r>
              <w:rPr>
                <w:rFonts w:ascii="Times New Roman" w:hAnsi="Times New Roman"/>
                <w:color w:val="auto"/>
              </w:rPr>
              <w:t>施工时间短，随着施工的结束，施工产生的噪声也随之消失</w:t>
            </w:r>
            <w:r>
              <w:rPr>
                <w:rFonts w:hint="eastAsia" w:ascii="Times New Roman" w:hAnsi="Times New Roman"/>
                <w:color w:val="auto"/>
              </w:rPr>
              <w:t>，故输电线路工程施工对周围声环境的影响较小。</w:t>
            </w:r>
          </w:p>
          <w:p>
            <w:pPr>
              <w:snapToGrid w:val="0"/>
              <w:spacing w:line="360" w:lineRule="auto"/>
              <w:ind w:firstLine="420"/>
              <w:contextualSpacing/>
              <w:rPr>
                <w:rFonts w:hint="eastAsia" w:ascii="Times New Roman" w:hAnsi="Times New Roman"/>
                <w:color w:val="auto"/>
              </w:rPr>
            </w:pPr>
            <w:r>
              <w:rPr>
                <w:rFonts w:ascii="Times New Roman" w:hAnsi="Times New Roman"/>
                <w:color w:val="auto"/>
              </w:rPr>
              <w:t>工程开工前需向当地环保局申报登记。同时，夜间挖土机、静力压桩机必须停止施工；需要连续作业的，需征得当地环保部门的同意</w:t>
            </w:r>
            <w:r>
              <w:rPr>
                <w:rFonts w:hint="eastAsia" w:ascii="Times New Roman" w:hAnsi="Times New Roman"/>
                <w:color w:val="auto"/>
              </w:rPr>
              <w:t>。</w:t>
            </w:r>
          </w:p>
          <w:p>
            <w:pPr>
              <w:spacing w:line="360" w:lineRule="auto"/>
              <w:rPr>
                <w:rFonts w:ascii="Times New Roman" w:hAnsi="Times New Roman"/>
                <w:b/>
                <w:color w:val="auto"/>
                <w:szCs w:val="20"/>
              </w:rPr>
            </w:pPr>
            <w:r>
              <w:rPr>
                <w:rFonts w:hint="eastAsia" w:ascii="Times New Roman" w:hAnsi="Times New Roman"/>
                <w:b/>
                <w:color w:val="auto"/>
                <w:szCs w:val="20"/>
              </w:rPr>
              <w:t>7.1.</w:t>
            </w:r>
            <w:r>
              <w:rPr>
                <w:rFonts w:ascii="Times New Roman" w:hAnsi="Times New Roman"/>
                <w:b/>
                <w:color w:val="auto"/>
                <w:szCs w:val="20"/>
              </w:rPr>
              <w:t>2施工期</w:t>
            </w:r>
            <w:r>
              <w:rPr>
                <w:rFonts w:hint="eastAsia" w:ascii="Times New Roman" w:hAnsi="Times New Roman"/>
                <w:b/>
                <w:color w:val="auto"/>
                <w:szCs w:val="20"/>
              </w:rPr>
              <w:t>扬尘</w:t>
            </w:r>
            <w:r>
              <w:rPr>
                <w:rFonts w:ascii="Times New Roman" w:hAnsi="Times New Roman"/>
                <w:b/>
                <w:color w:val="auto"/>
                <w:szCs w:val="20"/>
              </w:rPr>
              <w:t>影响分析</w:t>
            </w:r>
          </w:p>
          <w:p>
            <w:pPr>
              <w:spacing w:line="360" w:lineRule="auto"/>
              <w:ind w:firstLine="420" w:firstLineChars="200"/>
              <w:rPr>
                <w:rFonts w:ascii="Times New Roman" w:hAnsi="Times New Roman"/>
                <w:color w:val="auto"/>
                <w:szCs w:val="20"/>
              </w:rPr>
            </w:pPr>
            <w:r>
              <w:rPr>
                <w:rFonts w:ascii="Times New Roman" w:hAnsi="Times New Roman"/>
                <w:color w:val="auto"/>
                <w:szCs w:val="20"/>
              </w:rPr>
              <w:t>（1）环境空气污染源</w:t>
            </w:r>
          </w:p>
          <w:p>
            <w:pPr>
              <w:spacing w:line="360" w:lineRule="auto"/>
              <w:ind w:firstLine="420" w:firstLineChars="200"/>
              <w:rPr>
                <w:rFonts w:ascii="Times New Roman" w:hAnsi="Times New Roman"/>
                <w:snapToGrid w:val="0"/>
                <w:color w:val="auto"/>
                <w:szCs w:val="20"/>
              </w:rPr>
            </w:pPr>
            <w:r>
              <w:rPr>
                <w:rFonts w:ascii="Times New Roman" w:hAnsi="Times New Roman"/>
                <w:color w:val="auto"/>
                <w:szCs w:val="20"/>
              </w:rPr>
              <w:t>施工扬尘主要来自于</w:t>
            </w:r>
            <w:r>
              <w:rPr>
                <w:rFonts w:hint="eastAsia" w:ascii="Times New Roman" w:hAnsi="Times New Roman"/>
                <w:color w:val="auto"/>
                <w:szCs w:val="20"/>
              </w:rPr>
              <w:t>线路</w:t>
            </w:r>
            <w:r>
              <w:rPr>
                <w:rFonts w:ascii="Times New Roman" w:hAnsi="Times New Roman"/>
                <w:color w:val="auto"/>
                <w:szCs w:val="20"/>
              </w:rPr>
              <w:t>施工的土方挖掘、</w:t>
            </w:r>
            <w:r>
              <w:rPr>
                <w:rFonts w:hint="eastAsia" w:ascii="Times New Roman" w:hAnsi="Times New Roman"/>
                <w:color w:val="auto"/>
                <w:szCs w:val="20"/>
                <w:lang w:eastAsia="zh-CN"/>
              </w:rPr>
              <w:t>临时保电</w:t>
            </w:r>
            <w:r>
              <w:rPr>
                <w:rFonts w:ascii="Times New Roman" w:hAnsi="Times New Roman"/>
                <w:color w:val="auto"/>
                <w:szCs w:val="20"/>
              </w:rPr>
              <w:t>杆塔的拆除、材料的运输装卸、施工现场内车辆行驶时道路扬尘等。施工阶段，尤其是施工初期，</w:t>
            </w:r>
            <w:r>
              <w:rPr>
                <w:rFonts w:hint="eastAsia" w:ascii="Times New Roman" w:hAnsi="Times New Roman"/>
                <w:color w:val="auto"/>
                <w:szCs w:val="20"/>
              </w:rPr>
              <w:t>塔基</w:t>
            </w:r>
            <w:r>
              <w:rPr>
                <w:rFonts w:ascii="Times New Roman" w:hAnsi="Times New Roman"/>
                <w:color w:val="auto"/>
                <w:szCs w:val="20"/>
              </w:rPr>
              <w:t>基础施工和土石方运输、</w:t>
            </w:r>
            <w:r>
              <w:rPr>
                <w:rFonts w:hint="eastAsia" w:ascii="Times New Roman" w:hAnsi="Times New Roman"/>
                <w:color w:val="auto"/>
                <w:szCs w:val="20"/>
              </w:rPr>
              <w:t>线路铺设</w:t>
            </w:r>
            <w:r>
              <w:rPr>
                <w:rFonts w:ascii="Times New Roman" w:hAnsi="Times New Roman"/>
                <w:color w:val="auto"/>
                <w:szCs w:val="20"/>
              </w:rPr>
              <w:t>开挖都会产生扬尘污染，若遇大风天气，扬尘污染更为突出。施工开挖、车</w:t>
            </w:r>
            <w:r>
              <w:rPr>
                <w:rFonts w:ascii="Times New Roman" w:hAnsi="Times New Roman"/>
                <w:snapToGrid w:val="0"/>
                <w:color w:val="auto"/>
                <w:szCs w:val="20"/>
              </w:rPr>
              <w:t>辆运输等产生的粉尘短期内将使局部区域空气中的TSP明显增加。</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（2）拟采取的环保措施</w:t>
            </w:r>
          </w:p>
          <w:p>
            <w:pPr>
              <w:spacing w:line="360" w:lineRule="auto"/>
              <w:ind w:firstLine="420" w:firstLineChars="200"/>
              <w:rPr>
                <w:rFonts w:ascii="Times New Roman" w:hAnsi="Times New Roman"/>
                <w:snapToGrid w:val="0"/>
                <w:color w:val="auto"/>
                <w:szCs w:val="20"/>
              </w:rPr>
            </w:pPr>
            <w:r>
              <w:rPr>
                <w:rFonts w:hint="eastAsia" w:ascii="Times New Roman" w:hAnsi="Times New Roman"/>
                <w:snapToGrid w:val="0"/>
                <w:color w:val="auto"/>
                <w:szCs w:val="20"/>
              </w:rPr>
              <w:t>①</w:t>
            </w:r>
            <w:r>
              <w:rPr>
                <w:rFonts w:ascii="Times New Roman" w:hAnsi="Times New Roman"/>
                <w:snapToGrid w:val="0"/>
                <w:color w:val="auto"/>
                <w:szCs w:val="20"/>
              </w:rPr>
              <w:t>施工单位应文明施工，加强施工期的环境管理和环境监控工作。</w:t>
            </w:r>
          </w:p>
          <w:p>
            <w:pPr>
              <w:spacing w:line="360" w:lineRule="auto"/>
              <w:ind w:firstLine="420" w:firstLineChars="200"/>
              <w:rPr>
                <w:rFonts w:ascii="Times New Roman" w:hAnsi="Times New Roman"/>
                <w:snapToGrid w:val="0"/>
                <w:color w:val="auto"/>
                <w:szCs w:val="20"/>
              </w:rPr>
            </w:pPr>
            <w:r>
              <w:rPr>
                <w:rFonts w:hint="eastAsia" w:ascii="Times New Roman" w:hAnsi="Times New Roman"/>
                <w:snapToGrid w:val="0"/>
                <w:color w:val="auto"/>
                <w:szCs w:val="20"/>
              </w:rPr>
              <w:t>②</w:t>
            </w:r>
            <w:r>
              <w:rPr>
                <w:rFonts w:ascii="Times New Roman" w:hAnsi="Times New Roman"/>
                <w:snapToGrid w:val="0"/>
                <w:color w:val="auto"/>
                <w:szCs w:val="20"/>
              </w:rPr>
              <w:t>施工时，应相对集中配制或使用商品混凝土，然后用罐装车运至施工点进行浇筑，避免因混凝土拌制产生扬尘和噪声；此外，对于裸露施工面应定期洒水，减少施工扬尘。</w:t>
            </w:r>
          </w:p>
          <w:p>
            <w:pPr>
              <w:spacing w:line="360" w:lineRule="auto"/>
              <w:ind w:firstLine="420" w:firstLineChars="200"/>
              <w:rPr>
                <w:rFonts w:ascii="Times New Roman" w:hAnsi="Times New Roman"/>
                <w:snapToGrid w:val="0"/>
                <w:color w:val="auto"/>
                <w:szCs w:val="20"/>
              </w:rPr>
            </w:pPr>
            <w:r>
              <w:rPr>
                <w:rFonts w:hint="eastAsia" w:ascii="Times New Roman" w:hAnsi="Times New Roman"/>
                <w:snapToGrid w:val="0"/>
                <w:color w:val="auto"/>
                <w:szCs w:val="20"/>
              </w:rPr>
              <w:t>③</w:t>
            </w:r>
            <w:r>
              <w:rPr>
                <w:rFonts w:ascii="Times New Roman" w:hAnsi="Times New Roman"/>
                <w:snapToGrid w:val="0"/>
                <w:color w:val="auto"/>
                <w:szCs w:val="20"/>
              </w:rPr>
              <w:t>车辆运输散体材料和废弃物时，必须密闭、包扎、覆盖，避免沿途漏撒，控制扬尘污染。</w:t>
            </w:r>
          </w:p>
          <w:p>
            <w:pPr>
              <w:spacing w:line="360" w:lineRule="auto"/>
              <w:ind w:firstLine="420" w:firstLineChars="200"/>
              <w:rPr>
                <w:rFonts w:ascii="Times New Roman" w:hAnsi="Times New Roman"/>
                <w:snapToGrid w:val="0"/>
                <w:color w:val="auto"/>
                <w:szCs w:val="20"/>
              </w:rPr>
            </w:pPr>
            <w:r>
              <w:rPr>
                <w:rFonts w:hint="eastAsia" w:ascii="Times New Roman" w:hAnsi="Times New Roman"/>
                <w:snapToGrid w:val="0"/>
                <w:color w:val="auto"/>
                <w:szCs w:val="20"/>
              </w:rPr>
              <w:t>④</w:t>
            </w:r>
            <w:r>
              <w:rPr>
                <w:rFonts w:ascii="Times New Roman" w:hAnsi="Times New Roman"/>
                <w:snapToGrid w:val="0"/>
                <w:color w:val="auto"/>
                <w:szCs w:val="20"/>
              </w:rPr>
              <w:t>加强材料转运与使用的管理，合理装卸，规范操作。</w:t>
            </w:r>
          </w:p>
          <w:p>
            <w:pPr>
              <w:spacing w:line="360" w:lineRule="auto"/>
              <w:ind w:firstLine="420" w:firstLineChars="200"/>
              <w:rPr>
                <w:rFonts w:ascii="Times New Roman" w:hAnsi="Times New Roman"/>
                <w:snapToGrid w:val="0"/>
                <w:color w:val="auto"/>
                <w:szCs w:val="20"/>
              </w:rPr>
            </w:pPr>
            <w:r>
              <w:rPr>
                <w:rFonts w:hint="eastAsia" w:ascii="Times New Roman" w:hAnsi="Times New Roman"/>
                <w:snapToGrid w:val="0"/>
                <w:color w:val="auto"/>
                <w:szCs w:val="20"/>
              </w:rPr>
              <w:t>⑤</w:t>
            </w:r>
            <w:r>
              <w:rPr>
                <w:rFonts w:ascii="Times New Roman" w:hAnsi="Times New Roman"/>
                <w:snapToGrid w:val="0"/>
                <w:color w:val="auto"/>
                <w:szCs w:val="20"/>
              </w:rPr>
              <w:t>进出施工场地的车辆限制车速，场内道路、堆场在车辆进出时洒水，保持湿润，减少或避免产生扬尘。</w:t>
            </w:r>
          </w:p>
          <w:p>
            <w:pPr>
              <w:spacing w:line="360" w:lineRule="auto"/>
              <w:ind w:firstLine="420" w:firstLineChars="200"/>
              <w:rPr>
                <w:rFonts w:ascii="Times New Roman" w:hAnsi="Times New Roman"/>
                <w:snapToGrid w:val="0"/>
                <w:color w:val="auto"/>
                <w:szCs w:val="20"/>
              </w:rPr>
            </w:pPr>
            <w:r>
              <w:rPr>
                <w:rFonts w:hint="eastAsia" w:ascii="Times New Roman" w:hAnsi="Times New Roman"/>
                <w:snapToGrid w:val="0"/>
                <w:color w:val="auto"/>
                <w:szCs w:val="20"/>
              </w:rPr>
              <w:t>⑥</w:t>
            </w:r>
            <w:r>
              <w:rPr>
                <w:rFonts w:ascii="Times New Roman" w:hAnsi="Times New Roman"/>
                <w:snapToGrid w:val="0"/>
                <w:color w:val="auto"/>
                <w:szCs w:val="20"/>
              </w:rPr>
              <w:t>施工临时中转土方以及弃土弃渣等要合理堆放，可定期洒水进行扬尘控制。</w:t>
            </w:r>
          </w:p>
          <w:p>
            <w:pPr>
              <w:spacing w:line="360" w:lineRule="auto"/>
              <w:ind w:firstLine="420" w:firstLineChars="200"/>
              <w:rPr>
                <w:rFonts w:ascii="Times New Roman" w:hAnsi="Times New Roman"/>
                <w:snapToGrid w:val="0"/>
                <w:color w:val="auto"/>
                <w:szCs w:val="20"/>
              </w:rPr>
            </w:pPr>
            <w:r>
              <w:rPr>
                <w:rFonts w:hint="eastAsia" w:ascii="Times New Roman" w:hAnsi="Times New Roman"/>
                <w:snapToGrid w:val="0"/>
                <w:color w:val="auto"/>
                <w:szCs w:val="20"/>
              </w:rPr>
              <w:t>⑦</w:t>
            </w:r>
            <w:r>
              <w:rPr>
                <w:rFonts w:ascii="Times New Roman" w:hAnsi="Times New Roman"/>
                <w:snapToGrid w:val="0"/>
                <w:color w:val="auto"/>
                <w:szCs w:val="20"/>
              </w:rPr>
              <w:t>施工结束后，按“工完料尽场地清”的原则立即进行空地硬化和覆盖，减少裸露地面面积。</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（3）施工扬尘影响分析</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施工时，产生局部二次扬尘，可能对</w:t>
            </w:r>
            <w:r>
              <w:rPr>
                <w:rFonts w:hint="eastAsia" w:ascii="Times New Roman" w:hAnsi="Times New Roman"/>
                <w:snapToGrid w:val="0"/>
                <w:color w:val="auto"/>
                <w:szCs w:val="20"/>
                <w:lang w:eastAsia="zh-CN"/>
              </w:rPr>
              <w:t>线路</w:t>
            </w:r>
            <w:r>
              <w:rPr>
                <w:rFonts w:ascii="Times New Roman" w:hAnsi="Times New Roman"/>
                <w:snapToGrid w:val="0"/>
                <w:color w:val="auto"/>
                <w:szCs w:val="20"/>
              </w:rPr>
              <w:t>周围的局部地区产生暂时影响，但工程结束后即可恢复。此外设备材料的运输可能会使所经道路产生扬尘问题，但该扬尘问题只是暂时的和流动的，当建设期结束，此问题亦会消失，对附近区域环境空气质量不会造成长期影响。</w:t>
            </w:r>
          </w:p>
          <w:p>
            <w:pPr>
              <w:spacing w:line="360" w:lineRule="auto"/>
              <w:ind w:firstLine="420" w:firstLineChars="200"/>
              <w:rPr>
                <w:rFonts w:ascii="Times New Roman" w:hAnsi="Times New Roman"/>
                <w:snapToGrid w:val="0"/>
                <w:color w:val="auto"/>
                <w:szCs w:val="20"/>
              </w:rPr>
            </w:pPr>
            <w:r>
              <w:rPr>
                <w:rFonts w:hint="eastAsia" w:ascii="Times New Roman" w:hAnsi="Times New Roman"/>
                <w:snapToGrid w:val="0"/>
                <w:color w:val="auto"/>
                <w:szCs w:val="20"/>
              </w:rPr>
              <w:t>线路施工时</w:t>
            </w:r>
            <w:r>
              <w:rPr>
                <w:rFonts w:ascii="Times New Roman" w:hAnsi="Times New Roman"/>
                <w:snapToGrid w:val="0"/>
                <w:color w:val="auto"/>
                <w:szCs w:val="20"/>
              </w:rPr>
              <w:t>，</w:t>
            </w:r>
            <w:r>
              <w:rPr>
                <w:rFonts w:hint="eastAsia" w:ascii="Times New Roman" w:hAnsi="Times New Roman"/>
                <w:snapToGrid w:val="0"/>
                <w:color w:val="auto"/>
                <w:szCs w:val="20"/>
              </w:rPr>
              <w:t>因线路短、工程很小，</w:t>
            </w:r>
            <w:r>
              <w:rPr>
                <w:rFonts w:ascii="Times New Roman" w:hAnsi="Times New Roman"/>
                <w:snapToGrid w:val="0"/>
                <w:color w:val="auto"/>
                <w:szCs w:val="20"/>
              </w:rPr>
              <w:t>施工扬尘影响的区域小、影响的时间短。通过施工管理措施如洒水抑尘、遮挡等可以减小</w:t>
            </w:r>
            <w:r>
              <w:rPr>
                <w:rFonts w:hint="eastAsia" w:ascii="Times New Roman" w:hAnsi="Times New Roman"/>
                <w:snapToGrid w:val="0"/>
                <w:color w:val="auto"/>
                <w:szCs w:val="20"/>
              </w:rPr>
              <w:t>线路开挖</w:t>
            </w:r>
            <w:r>
              <w:rPr>
                <w:rFonts w:ascii="Times New Roman" w:hAnsi="Times New Roman"/>
                <w:snapToGrid w:val="0"/>
                <w:color w:val="auto"/>
                <w:szCs w:val="20"/>
              </w:rPr>
              <w:t>产生的扬尘问题。</w:t>
            </w:r>
          </w:p>
          <w:p>
            <w:pPr>
              <w:spacing w:line="360" w:lineRule="auto"/>
              <w:rPr>
                <w:rFonts w:ascii="Times New Roman" w:hAnsi="Times New Roman"/>
                <w:b/>
                <w:color w:val="auto"/>
                <w:szCs w:val="20"/>
              </w:rPr>
            </w:pPr>
            <w:r>
              <w:rPr>
                <w:rFonts w:hint="eastAsia" w:ascii="Times New Roman" w:hAnsi="Times New Roman"/>
                <w:b/>
                <w:color w:val="auto"/>
                <w:szCs w:val="20"/>
              </w:rPr>
              <w:t>7.1.</w:t>
            </w:r>
            <w:r>
              <w:rPr>
                <w:rFonts w:ascii="Times New Roman" w:hAnsi="Times New Roman"/>
                <w:b/>
                <w:color w:val="auto"/>
                <w:szCs w:val="20"/>
              </w:rPr>
              <w:t>3施工废污水环境影响分析</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（1）废污水污染源</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本工程施工污水主要来自施工人员的生活污水和少量施工废水。</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对于本工程而言，施工废水主要包括</w:t>
            </w:r>
            <w:r>
              <w:rPr>
                <w:rFonts w:hint="eastAsia" w:ascii="Times New Roman" w:hAnsi="Times New Roman"/>
                <w:color w:val="auto"/>
              </w:rPr>
              <w:t>混凝土灌注、</w:t>
            </w:r>
            <w:r>
              <w:rPr>
                <w:rFonts w:ascii="Times New Roman" w:hAnsi="Times New Roman"/>
                <w:snapToGrid w:val="0"/>
                <w:color w:val="auto"/>
                <w:szCs w:val="20"/>
              </w:rPr>
              <w:t>施工机械和车辆的冲洗水。</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（2）拟采取的环保措施</w:t>
            </w:r>
          </w:p>
          <w:p>
            <w:pPr>
              <w:spacing w:line="360" w:lineRule="auto"/>
              <w:ind w:firstLine="420" w:firstLineChars="200"/>
              <w:rPr>
                <w:rFonts w:ascii="Times New Roman" w:hAnsi="Times New Roman"/>
                <w:snapToGrid w:val="0"/>
                <w:color w:val="auto"/>
                <w:szCs w:val="20"/>
              </w:rPr>
            </w:pPr>
            <w:r>
              <w:rPr>
                <w:rFonts w:hint="eastAsia" w:ascii="Times New Roman" w:hAnsi="Times New Roman"/>
                <w:snapToGrid w:val="0"/>
                <w:color w:val="auto"/>
                <w:szCs w:val="20"/>
              </w:rPr>
              <w:t>①</w:t>
            </w:r>
            <w:r>
              <w:rPr>
                <w:rFonts w:ascii="Times New Roman" w:hAnsi="Times New Roman"/>
                <w:snapToGrid w:val="0"/>
                <w:color w:val="auto"/>
                <w:szCs w:val="20"/>
              </w:rPr>
              <w:t>施工单位应对施工废水进行妥善处理，适当位置设置简易沉砂池对施工废水进行澄清处理，然后</w:t>
            </w:r>
            <w:r>
              <w:rPr>
                <w:rFonts w:hint="eastAsia" w:ascii="Times New Roman" w:hAnsi="Times New Roman"/>
                <w:snapToGrid w:val="0"/>
                <w:color w:val="auto"/>
                <w:szCs w:val="20"/>
              </w:rPr>
              <w:t>用于施工场地降尘</w:t>
            </w:r>
            <w:r>
              <w:rPr>
                <w:rFonts w:ascii="Times New Roman" w:hAnsi="Times New Roman"/>
                <w:snapToGrid w:val="0"/>
                <w:color w:val="auto"/>
                <w:szCs w:val="20"/>
              </w:rPr>
              <w:t>，严禁施工废水乱排、乱流，做到文明施工。</w:t>
            </w:r>
          </w:p>
          <w:p>
            <w:pPr>
              <w:spacing w:line="360" w:lineRule="auto"/>
              <w:ind w:firstLine="420" w:firstLineChars="200"/>
              <w:rPr>
                <w:rFonts w:hint="eastAsia"/>
                <w:color w:val="auto"/>
              </w:rPr>
            </w:pPr>
            <w:r>
              <w:rPr>
                <w:rFonts w:hint="eastAsia" w:ascii="Times New Roman" w:hAnsi="Times New Roman"/>
                <w:snapToGrid w:val="0"/>
                <w:color w:val="auto"/>
                <w:szCs w:val="20"/>
              </w:rPr>
              <w:t>②输电线路施工时</w:t>
            </w:r>
            <w:r>
              <w:rPr>
                <w:rFonts w:hint="eastAsia" w:ascii="Times New Roman" w:hAnsi="Times New Roman"/>
                <w:color w:val="auto"/>
              </w:rPr>
              <w:t>施工人员</w:t>
            </w:r>
            <w:r>
              <w:rPr>
                <w:color w:val="auto"/>
              </w:rPr>
              <w:t>统一集中居住在施工点附近村庄租住的民房内，生活污水排入居住点的化粪池中</w:t>
            </w:r>
            <w:r>
              <w:rPr>
                <w:rFonts w:hint="eastAsia"/>
                <w:color w:val="auto"/>
              </w:rPr>
              <w:t>。</w:t>
            </w:r>
          </w:p>
          <w:p>
            <w:pPr>
              <w:spacing w:line="360" w:lineRule="auto"/>
              <w:ind w:firstLine="420" w:firstLineChars="200"/>
              <w:rPr>
                <w:rFonts w:hint="eastAsia" w:ascii="Times New Roman" w:hAnsi="Times New Roman"/>
                <w:color w:val="auto"/>
                <w:szCs w:val="20"/>
              </w:rPr>
            </w:pPr>
            <w:r>
              <w:rPr>
                <w:rFonts w:ascii="Times New Roman" w:hAnsi="Times New Roman"/>
                <w:color w:val="auto"/>
              </w:rPr>
              <w:fldChar w:fldCharType="begin"/>
            </w:r>
            <w:r>
              <w:rPr>
                <w:rFonts w:ascii="Times New Roman" w:hAnsi="Times New Roman"/>
                <w:color w:val="auto"/>
              </w:rPr>
              <w:instrText xml:space="preserve"> </w:instrText>
            </w:r>
            <w:r>
              <w:rPr>
                <w:rFonts w:hint="eastAsia" w:ascii="Times New Roman" w:hAnsi="Times New Roman"/>
                <w:color w:val="auto"/>
              </w:rPr>
              <w:instrText xml:space="preserve">= 3 \* GB3</w:instrText>
            </w:r>
            <w:r>
              <w:rPr>
                <w:rFonts w:ascii="Times New Roman" w:hAnsi="Times New Roman"/>
                <w:color w:val="auto"/>
              </w:rPr>
              <w:instrText xml:space="preserve"> </w:instrText>
            </w:r>
            <w:r>
              <w:rPr>
                <w:rFonts w:ascii="Times New Roman" w:hAnsi="Times New Roman"/>
                <w:color w:val="auto"/>
              </w:rPr>
              <w:fldChar w:fldCharType="separate"/>
            </w:r>
            <w:r>
              <w:rPr>
                <w:rFonts w:hint="eastAsia" w:ascii="Times New Roman" w:hAnsi="Times New Roman"/>
                <w:color w:val="auto"/>
              </w:rPr>
              <w:t>③</w:t>
            </w:r>
            <w:r>
              <w:rPr>
                <w:rFonts w:ascii="Times New Roman" w:hAnsi="Times New Roman"/>
                <w:color w:val="auto"/>
              </w:rPr>
              <w:fldChar w:fldCharType="end"/>
            </w:r>
            <w:r>
              <w:rPr>
                <w:rFonts w:ascii="Times New Roman" w:hAnsi="Times New Roman"/>
                <w:color w:val="auto"/>
              </w:rPr>
              <w:t>输电线路在海南省陆域生态保护红线区</w:t>
            </w:r>
            <w:r>
              <w:rPr>
                <w:rFonts w:hint="eastAsia" w:ascii="Times New Roman" w:hAnsi="Times New Roman"/>
                <w:color w:val="auto"/>
                <w:lang w:eastAsia="zh-CN"/>
              </w:rPr>
              <w:t>、饮用水水源保护区及湿地公园内</w:t>
            </w:r>
            <w:r>
              <w:rPr>
                <w:rFonts w:ascii="Times New Roman" w:hAnsi="Times New Roman"/>
                <w:color w:val="auto"/>
              </w:rPr>
              <w:t>施工时</w:t>
            </w:r>
            <w:r>
              <w:rPr>
                <w:rFonts w:hint="eastAsia" w:ascii="Times New Roman" w:hAnsi="Times New Roman"/>
                <w:color w:val="auto"/>
              </w:rPr>
              <w:t>，</w:t>
            </w:r>
            <w:r>
              <w:rPr>
                <w:rFonts w:ascii="Times New Roman" w:hAnsi="Times New Roman"/>
                <w:snapToGrid w:val="0"/>
                <w:color w:val="auto"/>
                <w:szCs w:val="20"/>
              </w:rPr>
              <w:t>禁止</w:t>
            </w:r>
            <w:r>
              <w:rPr>
                <w:rFonts w:hint="eastAsia" w:ascii="Times New Roman" w:hAnsi="Times New Roman"/>
                <w:snapToGrid w:val="0"/>
                <w:color w:val="auto"/>
                <w:szCs w:val="20"/>
              </w:rPr>
              <w:t>向</w:t>
            </w:r>
            <w:r>
              <w:rPr>
                <w:rFonts w:hint="eastAsia" w:ascii="Times New Roman" w:hAnsi="Times New Roman"/>
                <w:snapToGrid w:val="0"/>
                <w:color w:val="auto"/>
                <w:szCs w:val="20"/>
                <w:lang w:eastAsia="zh-CN"/>
              </w:rPr>
              <w:t>这些区域</w:t>
            </w:r>
            <w:r>
              <w:rPr>
                <w:rFonts w:hint="eastAsia" w:ascii="Times New Roman" w:hAnsi="Times New Roman"/>
                <w:snapToGrid w:val="0"/>
                <w:color w:val="auto"/>
                <w:szCs w:val="20"/>
              </w:rPr>
              <w:t>排放废污水</w:t>
            </w:r>
            <w:r>
              <w:rPr>
                <w:rFonts w:hint="eastAsia" w:ascii="Times New Roman" w:hAnsi="Times New Roman"/>
                <w:color w:val="auto"/>
              </w:rPr>
              <w:t>。</w:t>
            </w:r>
            <w:r>
              <w:rPr>
                <w:rFonts w:hint="eastAsia" w:ascii="Times New Roman" w:hAnsi="Times New Roman"/>
                <w:color w:val="auto"/>
                <w:szCs w:val="20"/>
              </w:rPr>
              <w:t xml:space="preserve"> </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（3）施工废污水影响分析</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在做好上述环保措施的基础上，施工过程中产生的废污水不会对周围水环境产生不良影响。</w:t>
            </w:r>
          </w:p>
          <w:p>
            <w:pPr>
              <w:spacing w:line="360" w:lineRule="auto"/>
              <w:rPr>
                <w:rFonts w:ascii="Times New Roman" w:hAnsi="Times New Roman"/>
                <w:b/>
                <w:color w:val="auto"/>
                <w:szCs w:val="20"/>
              </w:rPr>
            </w:pPr>
            <w:r>
              <w:rPr>
                <w:rFonts w:hint="eastAsia" w:ascii="Times New Roman" w:hAnsi="Times New Roman"/>
                <w:b/>
                <w:color w:val="auto"/>
                <w:szCs w:val="20"/>
              </w:rPr>
              <w:t>7.1.</w:t>
            </w:r>
            <w:r>
              <w:rPr>
                <w:rFonts w:ascii="Times New Roman" w:hAnsi="Times New Roman"/>
                <w:b/>
                <w:color w:val="auto"/>
                <w:szCs w:val="20"/>
              </w:rPr>
              <w:t>4施工固体废弃物环境影响分析</w:t>
            </w:r>
          </w:p>
          <w:p>
            <w:pPr>
              <w:spacing w:line="360" w:lineRule="auto"/>
              <w:ind w:firstLine="315" w:firstLineChars="150"/>
              <w:rPr>
                <w:rFonts w:ascii="Times New Roman" w:hAnsi="Times New Roman"/>
                <w:snapToGrid w:val="0"/>
                <w:color w:val="auto"/>
                <w:szCs w:val="20"/>
              </w:rPr>
            </w:pPr>
            <w:r>
              <w:rPr>
                <w:rFonts w:ascii="Times New Roman" w:hAnsi="Times New Roman"/>
                <w:snapToGrid w:val="0"/>
                <w:color w:val="auto"/>
                <w:szCs w:val="20"/>
              </w:rPr>
              <w:t>（1）施工固废对周围环境影响分析</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施工期固体废弃物主要为产生的弃土、弃渣、建筑垃圾以及施工人员的生活垃圾。</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施工产生的弃土弃渣、建筑垃圾若不妥善处置则会产生水土流失等环境影响，产生的生活垃圾若不妥善处置则不仅污染环境而且破坏景观。</w:t>
            </w:r>
          </w:p>
          <w:p>
            <w:pPr>
              <w:spacing w:line="360" w:lineRule="auto"/>
              <w:ind w:firstLine="315" w:firstLineChars="150"/>
              <w:rPr>
                <w:rFonts w:ascii="Times New Roman" w:hAnsi="Times New Roman"/>
                <w:snapToGrid w:val="0"/>
                <w:color w:val="auto"/>
                <w:szCs w:val="20"/>
              </w:rPr>
            </w:pPr>
            <w:r>
              <w:rPr>
                <w:rFonts w:ascii="Times New Roman" w:hAnsi="Times New Roman"/>
                <w:snapToGrid w:val="0"/>
                <w:color w:val="auto"/>
                <w:szCs w:val="20"/>
              </w:rPr>
              <w:t>（2）拟采取的环保措施及效果</w:t>
            </w:r>
          </w:p>
          <w:p>
            <w:pPr>
              <w:spacing w:line="360" w:lineRule="auto"/>
              <w:ind w:firstLine="420" w:firstLineChars="200"/>
              <w:rPr>
                <w:rFonts w:hint="eastAsia" w:ascii="Times New Roman" w:hAnsi="Times New Roman"/>
                <w:color w:val="auto"/>
                <w:szCs w:val="20"/>
              </w:rPr>
            </w:pPr>
            <w:r>
              <w:rPr>
                <w:rFonts w:ascii="Times New Roman" w:hAnsi="Times New Roman"/>
                <w:color w:val="auto"/>
                <w:szCs w:val="20"/>
              </w:rPr>
              <w:t>为避免施工垃圾及生活垃圾对环境造成影响，在工程施工前应作好施工机构及施工人员的环保培训。明确要求施工过程中的建筑垃圾及生活垃圾应分别收集堆放，并妥善处理，及时清运或定期运至指定的地点安全处置，使工程建设产生的垃圾得到安全处置；对工程建设可能产生的弃土弃渣，建议尽量</w:t>
            </w:r>
            <w:r>
              <w:rPr>
                <w:rFonts w:hint="eastAsia" w:ascii="Times New Roman" w:hAnsi="Times New Roman"/>
                <w:color w:val="auto"/>
                <w:szCs w:val="20"/>
              </w:rPr>
              <w:t>使</w:t>
            </w:r>
            <w:r>
              <w:rPr>
                <w:rFonts w:ascii="Times New Roman" w:hAnsi="Times New Roman"/>
                <w:color w:val="auto"/>
                <w:szCs w:val="20"/>
              </w:rPr>
              <w:t>土石方平衡，对于不能平衡的弃土弃渣则应</w:t>
            </w:r>
            <w:r>
              <w:rPr>
                <w:rFonts w:hint="eastAsia" w:ascii="Times New Roman" w:hAnsi="Times New Roman"/>
                <w:color w:val="auto"/>
                <w:szCs w:val="20"/>
              </w:rPr>
              <w:t>运送</w:t>
            </w:r>
            <w:r>
              <w:rPr>
                <w:rFonts w:ascii="Times New Roman" w:hAnsi="Times New Roman"/>
                <w:color w:val="auto"/>
                <w:szCs w:val="20"/>
              </w:rPr>
              <w:t>至在工程建设地周围低洼处堆置，并在表面进行绿化或者覆盖措施。在采取上述环保措施的基础上，施工固废环境产生影响很小。</w:t>
            </w:r>
          </w:p>
          <w:p>
            <w:pPr>
              <w:spacing w:line="360" w:lineRule="auto"/>
              <w:ind w:firstLine="420" w:firstLineChars="200"/>
              <w:rPr>
                <w:rFonts w:ascii="Times New Roman" w:hAnsi="Times New Roman"/>
                <w:color w:val="auto"/>
                <w:szCs w:val="20"/>
              </w:rPr>
            </w:pPr>
            <w:r>
              <w:rPr>
                <w:rFonts w:ascii="Times New Roman" w:hAnsi="Times New Roman"/>
                <w:color w:val="auto"/>
              </w:rPr>
              <w:t>输电线路在海南省陆域生态保护红线区</w:t>
            </w:r>
            <w:r>
              <w:rPr>
                <w:rFonts w:hint="eastAsia" w:ascii="Times New Roman" w:hAnsi="Times New Roman"/>
                <w:color w:val="auto"/>
                <w:lang w:eastAsia="zh-CN"/>
              </w:rPr>
              <w:t>、饮用水水源保护区及湿地公园内</w:t>
            </w:r>
            <w:r>
              <w:rPr>
                <w:rFonts w:hint="eastAsia" w:ascii="Times New Roman" w:hAnsi="Times New Roman"/>
                <w:color w:val="auto"/>
              </w:rPr>
              <w:t>附近</w:t>
            </w:r>
            <w:r>
              <w:rPr>
                <w:rFonts w:ascii="Times New Roman" w:hAnsi="Times New Roman"/>
                <w:color w:val="auto"/>
              </w:rPr>
              <w:t>施工时</w:t>
            </w:r>
            <w:r>
              <w:rPr>
                <w:rFonts w:hint="eastAsia" w:ascii="Times New Roman" w:hAnsi="Times New Roman"/>
                <w:color w:val="auto"/>
              </w:rPr>
              <w:t>，</w:t>
            </w:r>
            <w:r>
              <w:rPr>
                <w:rFonts w:ascii="Times New Roman" w:hAnsi="Times New Roman"/>
                <w:snapToGrid w:val="0"/>
                <w:color w:val="auto"/>
                <w:szCs w:val="20"/>
              </w:rPr>
              <w:t>禁止在</w:t>
            </w:r>
            <w:r>
              <w:rPr>
                <w:rFonts w:hint="eastAsia" w:ascii="Times New Roman" w:hAnsi="Times New Roman"/>
                <w:snapToGrid w:val="0"/>
                <w:color w:val="auto"/>
                <w:szCs w:val="20"/>
                <w:lang w:eastAsia="zh-CN"/>
              </w:rPr>
              <w:t>这些区域内</w:t>
            </w:r>
            <w:r>
              <w:rPr>
                <w:rFonts w:ascii="Times New Roman" w:hAnsi="Times New Roman"/>
                <w:snapToGrid w:val="0"/>
                <w:color w:val="auto"/>
                <w:szCs w:val="20"/>
              </w:rPr>
              <w:t>集中堆放，委托当地环卫部门集中清运，禁止在</w:t>
            </w:r>
            <w:r>
              <w:rPr>
                <w:rFonts w:ascii="Times New Roman" w:hAnsi="Times New Roman"/>
                <w:color w:val="auto"/>
              </w:rPr>
              <w:t>海南省陆域生态保护红线区</w:t>
            </w:r>
            <w:r>
              <w:rPr>
                <w:rFonts w:hint="eastAsia" w:ascii="Times New Roman" w:hAnsi="Times New Roman"/>
                <w:color w:val="auto"/>
                <w:lang w:eastAsia="zh-CN"/>
              </w:rPr>
              <w:t>、饮用水水源保护区及湿地公园内</w:t>
            </w:r>
            <w:r>
              <w:rPr>
                <w:rFonts w:ascii="Times New Roman" w:hAnsi="Times New Roman"/>
                <w:snapToGrid w:val="0"/>
                <w:color w:val="auto"/>
                <w:szCs w:val="20"/>
              </w:rPr>
              <w:t>和</w:t>
            </w:r>
            <w:r>
              <w:rPr>
                <w:rFonts w:hint="eastAsia" w:ascii="Times New Roman" w:hAnsi="Times New Roman"/>
                <w:snapToGrid w:val="0"/>
                <w:color w:val="auto"/>
                <w:szCs w:val="20"/>
                <w:lang w:eastAsia="zh-CN"/>
              </w:rPr>
              <w:t>线路沿线水体中乱扔</w:t>
            </w:r>
            <w:r>
              <w:rPr>
                <w:rFonts w:ascii="Times New Roman" w:hAnsi="Times New Roman"/>
                <w:snapToGrid w:val="0"/>
                <w:color w:val="auto"/>
                <w:szCs w:val="20"/>
              </w:rPr>
              <w:t>弃土</w:t>
            </w:r>
            <w:r>
              <w:rPr>
                <w:rFonts w:hint="eastAsia" w:ascii="Times New Roman" w:hAnsi="Times New Roman"/>
                <w:snapToGrid w:val="0"/>
                <w:color w:val="auto"/>
                <w:szCs w:val="20"/>
              </w:rPr>
              <w:t>。</w:t>
            </w:r>
          </w:p>
          <w:p>
            <w:pPr>
              <w:spacing w:line="360" w:lineRule="auto"/>
              <w:rPr>
                <w:rFonts w:ascii="Times New Roman" w:hAnsi="Times New Roman"/>
                <w:b/>
                <w:color w:val="auto"/>
                <w:szCs w:val="20"/>
              </w:rPr>
            </w:pPr>
            <w:r>
              <w:rPr>
                <w:rFonts w:hint="eastAsia" w:ascii="Times New Roman" w:hAnsi="Times New Roman"/>
                <w:b/>
                <w:color w:val="auto"/>
                <w:szCs w:val="20"/>
              </w:rPr>
              <w:t>7.1.</w:t>
            </w:r>
            <w:r>
              <w:rPr>
                <w:rFonts w:ascii="Times New Roman" w:hAnsi="Times New Roman"/>
                <w:b/>
                <w:color w:val="auto"/>
                <w:szCs w:val="20"/>
              </w:rPr>
              <w:t>5施工期生态环境影响及生态恢复分析</w:t>
            </w:r>
          </w:p>
          <w:p>
            <w:pPr>
              <w:spacing w:line="360" w:lineRule="auto"/>
              <w:ind w:firstLine="315" w:firstLineChars="150"/>
              <w:rPr>
                <w:rFonts w:ascii="Times New Roman" w:hAnsi="Times New Roman"/>
                <w:color w:val="auto"/>
                <w:szCs w:val="20"/>
              </w:rPr>
            </w:pPr>
            <w:r>
              <w:rPr>
                <w:rFonts w:ascii="Times New Roman" w:hAnsi="Times New Roman"/>
                <w:color w:val="auto"/>
                <w:szCs w:val="20"/>
              </w:rPr>
              <w:t>（1）生态影响及恢复分析</w:t>
            </w:r>
          </w:p>
          <w:p>
            <w:pPr>
              <w:spacing w:line="360" w:lineRule="auto"/>
              <w:ind w:firstLine="420" w:firstLineChars="200"/>
              <w:rPr>
                <w:rFonts w:hint="eastAsia" w:ascii="Times New Roman" w:hAnsi="Times New Roman"/>
                <w:snapToGrid w:val="0"/>
                <w:color w:val="auto"/>
                <w:szCs w:val="20"/>
              </w:rPr>
            </w:pPr>
            <w:r>
              <w:rPr>
                <w:rFonts w:ascii="Times New Roman" w:hAnsi="Times New Roman"/>
                <w:snapToGrid w:val="0"/>
                <w:color w:val="auto"/>
                <w:szCs w:val="20"/>
              </w:rPr>
              <w:t>施工期对生态环境的影响主要表现在对土地占用、对动植物生存环境的破坏和施工作业引起水土流失等方面。本工程</w:t>
            </w:r>
            <w:r>
              <w:rPr>
                <w:rFonts w:hint="eastAsia" w:ascii="Times New Roman" w:hAnsi="Times New Roman"/>
                <w:snapToGrid w:val="0"/>
                <w:color w:val="auto"/>
                <w:szCs w:val="20"/>
              </w:rPr>
              <w:t>输电线路线长约</w:t>
            </w:r>
            <w:r>
              <w:rPr>
                <w:rFonts w:hint="eastAsia" w:ascii="Times New Roman" w:hAnsi="Times New Roman"/>
                <w:snapToGrid w:val="0"/>
                <w:color w:val="auto"/>
                <w:szCs w:val="20"/>
                <w:lang w:val="en-US" w:eastAsia="zh-CN"/>
              </w:rPr>
              <w:t>2×55</w:t>
            </w:r>
            <w:r>
              <w:rPr>
                <w:rFonts w:hint="eastAsia" w:ascii="Times New Roman" w:hAnsi="Times New Roman"/>
                <w:snapToGrid w:val="0"/>
                <w:color w:val="auto"/>
                <w:szCs w:val="20"/>
              </w:rPr>
              <w:t>km，</w:t>
            </w:r>
            <w:r>
              <w:rPr>
                <w:rFonts w:ascii="Times New Roman" w:hAnsi="Times New Roman"/>
                <w:snapToGrid w:val="0"/>
                <w:color w:val="auto"/>
                <w:szCs w:val="20"/>
              </w:rPr>
              <w:t>沿线</w:t>
            </w:r>
            <w:r>
              <w:rPr>
                <w:rFonts w:ascii="Times New Roman" w:hAnsi="Times New Roman"/>
                <w:color w:val="auto"/>
                <w:szCs w:val="20"/>
              </w:rPr>
              <w:t>植被主要</w:t>
            </w:r>
            <w:r>
              <w:rPr>
                <w:rFonts w:hint="default" w:ascii="Times New Roman" w:hAnsi="Times New Roman" w:cs="Times New Roman"/>
                <w:color w:val="auto"/>
                <w:sz w:val="21"/>
                <w:szCs w:val="21"/>
              </w:rPr>
              <w:t>多以种植水稻、蔬菜为主，局部开挖成鱼塘</w:t>
            </w:r>
            <w:r>
              <w:rPr>
                <w:rFonts w:ascii="Times New Roman" w:hAnsi="Times New Roman"/>
                <w:color w:val="auto"/>
                <w:szCs w:val="20"/>
              </w:rPr>
              <w:t>，</w:t>
            </w:r>
            <w:r>
              <w:rPr>
                <w:rFonts w:hint="default" w:ascii="Times New Roman" w:hAnsi="Times New Roman" w:cs="Times New Roman"/>
                <w:color w:val="auto"/>
                <w:sz w:val="21"/>
                <w:szCs w:val="21"/>
              </w:rPr>
              <w:t>多种植有橡胶、椰子、芒果、荔枝、菠萝密、咖啡、黄皮、莲雾、槟榔等经济作物</w:t>
            </w:r>
            <w:r>
              <w:rPr>
                <w:rFonts w:hint="eastAsia" w:ascii="Times New Roman" w:hAnsi="Times New Roman" w:cs="Times New Roman"/>
                <w:color w:val="auto"/>
                <w:sz w:val="21"/>
                <w:szCs w:val="21"/>
                <w:lang w:eastAsia="zh-CN"/>
              </w:rPr>
              <w:t>。</w:t>
            </w:r>
            <w:r>
              <w:rPr>
                <w:rFonts w:ascii="Times New Roman" w:hAnsi="Times New Roman"/>
                <w:color w:val="auto"/>
                <w:szCs w:val="20"/>
              </w:rPr>
              <w:t>输电线路工程</w:t>
            </w:r>
            <w:r>
              <w:rPr>
                <w:rFonts w:ascii="Times New Roman" w:hAnsi="Times New Roman"/>
                <w:color w:val="auto"/>
              </w:rPr>
              <w:t>实际扰动区为点状分布，线路塔基仅四角占地</w:t>
            </w:r>
            <w:r>
              <w:rPr>
                <w:rFonts w:ascii="Times New Roman" w:hAnsi="Times New Roman"/>
                <w:color w:val="auto"/>
                <w:szCs w:val="20"/>
              </w:rPr>
              <w:t>，项目建设</w:t>
            </w:r>
            <w:r>
              <w:rPr>
                <w:rFonts w:ascii="Times New Roman" w:hAnsi="Times New Roman"/>
                <w:snapToGrid w:val="0"/>
                <w:color w:val="auto"/>
                <w:szCs w:val="20"/>
              </w:rPr>
              <w:t>对当地的生态环境影响程度较小</w:t>
            </w:r>
            <w:r>
              <w:rPr>
                <w:rFonts w:hint="eastAsia" w:ascii="Times New Roman" w:hAnsi="Times New Roman"/>
                <w:snapToGrid w:val="0"/>
                <w:color w:val="auto"/>
                <w:szCs w:val="20"/>
              </w:rPr>
              <w:t>。本工程线路可利用道路有海南环线高速</w:t>
            </w:r>
            <w:r>
              <w:rPr>
                <w:rFonts w:hint="eastAsia" w:ascii="Times New Roman" w:hAnsi="Times New Roman"/>
                <w:snapToGrid w:val="0"/>
                <w:color w:val="auto"/>
                <w:szCs w:val="20"/>
                <w:lang w:eastAsia="zh-CN"/>
              </w:rPr>
              <w:t>（海文高速）</w:t>
            </w:r>
            <w:r>
              <w:rPr>
                <w:rFonts w:hint="eastAsia" w:ascii="Times New Roman" w:hAnsi="Times New Roman"/>
                <w:snapToGrid w:val="0"/>
                <w:color w:val="auto"/>
                <w:szCs w:val="20"/>
              </w:rPr>
              <w:t>、</w:t>
            </w:r>
            <w:r>
              <w:rPr>
                <w:rFonts w:hint="eastAsia" w:ascii="Times New Roman" w:hAnsi="Times New Roman"/>
                <w:snapToGrid w:val="0"/>
                <w:color w:val="auto"/>
                <w:szCs w:val="20"/>
                <w:lang w:eastAsia="zh-CN"/>
              </w:rPr>
              <w:t>海南绕城高速、国道</w:t>
            </w:r>
            <w:r>
              <w:rPr>
                <w:rFonts w:hint="eastAsia" w:ascii="Times New Roman" w:hAnsi="Times New Roman"/>
                <w:snapToGrid w:val="0"/>
                <w:color w:val="auto"/>
                <w:szCs w:val="20"/>
                <w:lang w:val="en-US" w:eastAsia="zh-CN"/>
              </w:rPr>
              <w:t>G223、</w:t>
            </w:r>
            <w:r>
              <w:rPr>
                <w:rFonts w:hint="eastAsia" w:ascii="Times New Roman" w:hAnsi="Times New Roman"/>
                <w:snapToGrid w:val="0"/>
                <w:color w:val="auto"/>
                <w:szCs w:val="20"/>
              </w:rPr>
              <w:t>省道S</w:t>
            </w:r>
            <w:r>
              <w:rPr>
                <w:rFonts w:hint="eastAsia" w:ascii="Times New Roman" w:hAnsi="Times New Roman"/>
                <w:snapToGrid w:val="0"/>
                <w:color w:val="auto"/>
                <w:szCs w:val="20"/>
                <w:lang w:val="en-US" w:eastAsia="zh-CN"/>
              </w:rPr>
              <w:t>201</w:t>
            </w:r>
            <w:r>
              <w:rPr>
                <w:rFonts w:hint="eastAsia" w:ascii="Times New Roman" w:hAnsi="Times New Roman"/>
                <w:snapToGrid w:val="0"/>
                <w:color w:val="auto"/>
                <w:szCs w:val="20"/>
              </w:rPr>
              <w:t>、省道S</w:t>
            </w:r>
            <w:r>
              <w:rPr>
                <w:rFonts w:hint="eastAsia" w:ascii="Times New Roman" w:hAnsi="Times New Roman"/>
                <w:snapToGrid w:val="0"/>
                <w:color w:val="auto"/>
                <w:szCs w:val="20"/>
                <w:lang w:val="en-US" w:eastAsia="zh-CN"/>
              </w:rPr>
              <w:t>202</w:t>
            </w:r>
            <w:r>
              <w:rPr>
                <w:rFonts w:hint="eastAsia" w:ascii="Times New Roman" w:hAnsi="Times New Roman"/>
                <w:snapToGrid w:val="0"/>
                <w:color w:val="auto"/>
                <w:szCs w:val="20"/>
              </w:rPr>
              <w:t>、县道X</w:t>
            </w:r>
            <w:r>
              <w:rPr>
                <w:rFonts w:hint="eastAsia" w:ascii="Times New Roman" w:hAnsi="Times New Roman"/>
                <w:snapToGrid w:val="0"/>
                <w:color w:val="auto"/>
                <w:szCs w:val="20"/>
                <w:lang w:val="en-US" w:eastAsia="zh-CN"/>
              </w:rPr>
              <w:t>202、X146、X149</w:t>
            </w:r>
            <w:r>
              <w:rPr>
                <w:rFonts w:hint="eastAsia" w:ascii="Times New Roman" w:hAnsi="Times New Roman"/>
                <w:snapToGrid w:val="0"/>
                <w:color w:val="auto"/>
                <w:szCs w:val="20"/>
              </w:rPr>
              <w:t>及乡间小路，大部分地区交通情况便利，基本无新增施工便道。生态现状调查结果表明本工程输电线路周边300m范围内土地利用现状以耕地为主，工程区域多为</w:t>
            </w:r>
            <w:r>
              <w:rPr>
                <w:rFonts w:hint="eastAsia" w:ascii="Times New Roman" w:hAnsi="Times New Roman"/>
                <w:color w:val="auto"/>
                <w:szCs w:val="20"/>
                <w:lang w:eastAsia="zh-CN"/>
              </w:rPr>
              <w:t>水田</w:t>
            </w:r>
            <w:r>
              <w:rPr>
                <w:rFonts w:hint="eastAsia" w:ascii="Times New Roman" w:hAnsi="Times New Roman"/>
                <w:color w:val="auto"/>
                <w:szCs w:val="20"/>
              </w:rPr>
              <w:t>、</w:t>
            </w:r>
            <w:r>
              <w:rPr>
                <w:rFonts w:ascii="Times New Roman" w:hAnsi="Times New Roman"/>
                <w:color w:val="auto"/>
                <w:szCs w:val="20"/>
              </w:rPr>
              <w:t>种植地</w:t>
            </w:r>
            <w:r>
              <w:rPr>
                <w:rFonts w:hint="eastAsia" w:ascii="Times New Roman" w:hAnsi="Times New Roman"/>
                <w:color w:val="auto"/>
                <w:szCs w:val="20"/>
              </w:rPr>
              <w:t>，</w:t>
            </w:r>
            <w:r>
              <w:rPr>
                <w:rFonts w:hint="eastAsia" w:ascii="Times New Roman" w:hAnsi="Times New Roman"/>
                <w:snapToGrid w:val="0"/>
                <w:color w:val="auto"/>
                <w:szCs w:val="20"/>
              </w:rPr>
              <w:t>对林地影响有限。</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fldChar w:fldCharType="begin"/>
            </w:r>
            <w:r>
              <w:rPr>
                <w:rFonts w:ascii="Times New Roman" w:hAnsi="Times New Roman"/>
                <w:snapToGrid w:val="0"/>
                <w:color w:val="auto"/>
                <w:szCs w:val="20"/>
              </w:rPr>
              <w:instrText xml:space="preserve"> = 1 \* GB3 </w:instrText>
            </w:r>
            <w:r>
              <w:rPr>
                <w:rFonts w:ascii="Times New Roman" w:hAnsi="Times New Roman"/>
                <w:snapToGrid w:val="0"/>
                <w:color w:val="auto"/>
                <w:szCs w:val="20"/>
              </w:rPr>
              <w:fldChar w:fldCharType="separate"/>
            </w:r>
            <w:r>
              <w:rPr>
                <w:rFonts w:hint="eastAsia" w:ascii="Times New Roman" w:hAnsi="Times New Roman" w:cs="宋体"/>
                <w:snapToGrid w:val="0"/>
                <w:color w:val="auto"/>
                <w:szCs w:val="20"/>
              </w:rPr>
              <w:t>①</w:t>
            </w:r>
            <w:r>
              <w:rPr>
                <w:rFonts w:ascii="Times New Roman" w:hAnsi="Times New Roman"/>
                <w:snapToGrid w:val="0"/>
                <w:color w:val="auto"/>
                <w:szCs w:val="20"/>
              </w:rPr>
              <w:fldChar w:fldCharType="end"/>
            </w:r>
            <w:r>
              <w:rPr>
                <w:rFonts w:ascii="Times New Roman" w:hAnsi="Times New Roman"/>
                <w:snapToGrid w:val="0"/>
                <w:color w:val="auto"/>
                <w:szCs w:val="20"/>
              </w:rPr>
              <w:t>永久占地对生态环境的影响</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工程施工后，输电线路塔基处土方开挖和植被的清除，永久性地改变了土地利用现状</w:t>
            </w:r>
            <w:r>
              <w:rPr>
                <w:rFonts w:hint="eastAsia" w:ascii="Times New Roman" w:hAnsi="Times New Roman"/>
                <w:snapToGrid w:val="0"/>
                <w:color w:val="auto"/>
                <w:szCs w:val="20"/>
              </w:rPr>
              <w:t>，本工程新建杆塔1</w:t>
            </w:r>
            <w:r>
              <w:rPr>
                <w:rFonts w:hint="eastAsia" w:ascii="Times New Roman" w:hAnsi="Times New Roman"/>
                <w:snapToGrid w:val="0"/>
                <w:color w:val="auto"/>
                <w:szCs w:val="20"/>
                <w:lang w:val="en-US" w:eastAsia="zh-CN"/>
              </w:rPr>
              <w:t>65</w:t>
            </w:r>
            <w:r>
              <w:rPr>
                <w:rFonts w:hint="eastAsia" w:ascii="Times New Roman" w:hAnsi="Times New Roman"/>
                <w:snapToGrid w:val="0"/>
                <w:color w:val="auto"/>
                <w:szCs w:val="20"/>
              </w:rPr>
              <w:t>基，永久占地约</w:t>
            </w:r>
            <w:r>
              <w:rPr>
                <w:rFonts w:hint="eastAsia" w:ascii="Times New Roman" w:hAnsi="Times New Roman"/>
                <w:snapToGrid w:val="0"/>
                <w:color w:val="auto"/>
                <w:szCs w:val="20"/>
                <w:lang w:val="en-US" w:eastAsia="zh-CN"/>
              </w:rPr>
              <w:t>1320</w:t>
            </w:r>
            <w:r>
              <w:rPr>
                <w:rFonts w:hint="eastAsia" w:ascii="Times New Roman" w:hAnsi="Times New Roman"/>
                <w:snapToGrid w:val="0"/>
                <w:color w:val="auto"/>
                <w:szCs w:val="20"/>
              </w:rPr>
              <w:t>0m</w:t>
            </w:r>
            <w:r>
              <w:rPr>
                <w:rFonts w:hint="eastAsia" w:ascii="Times New Roman" w:hAnsi="Times New Roman"/>
                <w:snapToGrid w:val="0"/>
                <w:color w:val="auto"/>
                <w:vertAlign w:val="superscript"/>
              </w:rPr>
              <w:t>2</w:t>
            </w:r>
            <w:r>
              <w:rPr>
                <w:rFonts w:ascii="Times New Roman" w:hAnsi="Times New Roman"/>
                <w:snapToGrid w:val="0"/>
                <w:color w:val="auto"/>
                <w:szCs w:val="20"/>
              </w:rPr>
              <w:t>。</w:t>
            </w:r>
            <w:r>
              <w:rPr>
                <w:rFonts w:hint="eastAsia" w:ascii="Times New Roman" w:hAnsi="Times New Roman"/>
                <w:snapToGrid w:val="0"/>
                <w:color w:val="auto"/>
                <w:szCs w:val="20"/>
              </w:rPr>
              <w:t>工程区域多为</w:t>
            </w:r>
            <w:r>
              <w:rPr>
                <w:rFonts w:hint="eastAsia" w:ascii="Times New Roman" w:hAnsi="Times New Roman"/>
                <w:color w:val="auto"/>
                <w:szCs w:val="20"/>
                <w:lang w:eastAsia="zh-CN"/>
              </w:rPr>
              <w:t>水田</w:t>
            </w:r>
            <w:r>
              <w:rPr>
                <w:rFonts w:hint="eastAsia" w:ascii="Times New Roman" w:hAnsi="Times New Roman"/>
                <w:color w:val="auto"/>
                <w:szCs w:val="20"/>
              </w:rPr>
              <w:t>、</w:t>
            </w:r>
            <w:r>
              <w:rPr>
                <w:rFonts w:ascii="Times New Roman" w:hAnsi="Times New Roman"/>
                <w:color w:val="auto"/>
                <w:szCs w:val="20"/>
              </w:rPr>
              <w:t>种植地</w:t>
            </w:r>
            <w:r>
              <w:rPr>
                <w:rFonts w:hint="eastAsia" w:ascii="Times New Roman" w:hAnsi="Times New Roman"/>
                <w:color w:val="auto"/>
                <w:szCs w:val="20"/>
              </w:rPr>
              <w:t>，</w:t>
            </w:r>
            <w:r>
              <w:rPr>
                <w:rFonts w:ascii="Times New Roman" w:hAnsi="Times New Roman"/>
                <w:snapToGrid w:val="0"/>
                <w:color w:val="auto"/>
                <w:szCs w:val="20"/>
              </w:rPr>
              <w:t>但由于输电线路塔基开挖面积相对较小和分散，且部分永久占地还可以进行绿化，</w:t>
            </w:r>
            <w:r>
              <w:rPr>
                <w:rFonts w:hint="eastAsia" w:ascii="Times New Roman" w:hAnsi="Times New Roman"/>
                <w:snapToGrid w:val="0"/>
                <w:color w:val="auto"/>
                <w:szCs w:val="20"/>
              </w:rPr>
              <w:t>塔基处</w:t>
            </w:r>
            <w:r>
              <w:rPr>
                <w:rFonts w:ascii="Times New Roman" w:hAnsi="Times New Roman"/>
                <w:snapToGrid w:val="0"/>
                <w:color w:val="auto"/>
                <w:szCs w:val="20"/>
              </w:rPr>
              <w:t>土石方开挖量和植被破坏面积</w:t>
            </w:r>
            <w:r>
              <w:rPr>
                <w:rFonts w:hint="eastAsia" w:ascii="Times New Roman" w:hAnsi="Times New Roman"/>
                <w:snapToGrid w:val="0"/>
                <w:color w:val="auto"/>
                <w:szCs w:val="20"/>
              </w:rPr>
              <w:t>较</w:t>
            </w:r>
            <w:r>
              <w:rPr>
                <w:rFonts w:ascii="Times New Roman" w:hAnsi="Times New Roman"/>
                <w:snapToGrid w:val="0"/>
                <w:color w:val="auto"/>
                <w:szCs w:val="20"/>
              </w:rPr>
              <w:t>小，只是</w:t>
            </w:r>
            <w:r>
              <w:rPr>
                <w:rFonts w:hint="eastAsia" w:ascii="Times New Roman" w:hAnsi="Times New Roman"/>
                <w:snapToGrid w:val="0"/>
                <w:color w:val="auto"/>
                <w:szCs w:val="20"/>
              </w:rPr>
              <w:t>使</w:t>
            </w:r>
            <w:r>
              <w:rPr>
                <w:rFonts w:ascii="Times New Roman" w:hAnsi="Times New Roman"/>
                <w:snapToGrid w:val="0"/>
                <w:color w:val="auto"/>
                <w:szCs w:val="20"/>
              </w:rPr>
              <w:t>植被面积和覆盖度的减少，不会对植物物种多样性产生影响。当线路</w:t>
            </w:r>
            <w:r>
              <w:rPr>
                <w:rFonts w:hint="eastAsia" w:ascii="Times New Roman" w:hAnsi="Times New Roman"/>
                <w:snapToGrid w:val="0"/>
                <w:color w:val="auto"/>
                <w:szCs w:val="20"/>
                <w:lang w:eastAsia="zh-CN"/>
              </w:rPr>
              <w:t>穿越</w:t>
            </w:r>
            <w:r>
              <w:rPr>
                <w:rFonts w:ascii="Times New Roman" w:hAnsi="Times New Roman"/>
                <w:snapToGrid w:val="0"/>
                <w:color w:val="auto"/>
                <w:szCs w:val="20"/>
              </w:rPr>
              <w:t>海南省陆域生态保护红线区</w:t>
            </w:r>
            <w:r>
              <w:rPr>
                <w:rFonts w:hint="eastAsia" w:ascii="Times New Roman" w:hAnsi="Times New Roman"/>
                <w:snapToGrid w:val="0"/>
                <w:color w:val="auto"/>
                <w:szCs w:val="20"/>
                <w:lang w:eastAsia="zh-CN"/>
              </w:rPr>
              <w:t>、南渡江龙塘</w:t>
            </w:r>
            <w:r>
              <w:rPr>
                <w:rFonts w:ascii="Times New Roman" w:hAnsi="Times New Roman"/>
                <w:snapToGrid w:val="0"/>
                <w:color w:val="auto"/>
                <w:szCs w:val="20"/>
              </w:rPr>
              <w:t>饮用水水源保护区</w:t>
            </w:r>
            <w:r>
              <w:rPr>
                <w:rFonts w:hint="eastAsia" w:ascii="Times New Roman" w:hAnsi="Times New Roman"/>
                <w:snapToGrid w:val="0"/>
                <w:color w:val="auto"/>
                <w:szCs w:val="20"/>
                <w:lang w:eastAsia="zh-CN"/>
              </w:rPr>
              <w:t>、羊山湿地多用途管理区</w:t>
            </w:r>
            <w:r>
              <w:rPr>
                <w:rFonts w:hint="eastAsia" w:ascii="Times New Roman" w:hAnsi="Times New Roman"/>
                <w:color w:val="auto"/>
                <w:lang w:eastAsia="zh-CN"/>
              </w:rPr>
              <w:t>和新旧沟湿地乡村公园，跨越新旧沟湿地保护小区和海口三十六曲溪省级湿地公园</w:t>
            </w:r>
            <w:r>
              <w:rPr>
                <w:rFonts w:ascii="Times New Roman" w:hAnsi="Times New Roman"/>
                <w:snapToGrid w:val="0"/>
                <w:color w:val="auto"/>
                <w:szCs w:val="20"/>
              </w:rPr>
              <w:t>时，在</w:t>
            </w:r>
            <w:r>
              <w:rPr>
                <w:rFonts w:hint="eastAsia" w:ascii="Times New Roman" w:hAnsi="Times New Roman"/>
                <w:snapToGrid w:val="0"/>
                <w:color w:val="auto"/>
                <w:szCs w:val="20"/>
                <w:lang w:eastAsia="zh-CN"/>
              </w:rPr>
              <w:t>这些区域范围</w:t>
            </w:r>
            <w:r>
              <w:rPr>
                <w:rFonts w:ascii="Times New Roman" w:hAnsi="Times New Roman"/>
                <w:snapToGrid w:val="0"/>
                <w:color w:val="auto"/>
                <w:szCs w:val="20"/>
              </w:rPr>
              <w:t>内立塔时严格采取工程措施和植物措施保持水土。本工程占用</w:t>
            </w:r>
            <w:r>
              <w:rPr>
                <w:rFonts w:hint="eastAsia" w:ascii="Times New Roman" w:hAnsi="Times New Roman"/>
                <w:snapToGrid w:val="0"/>
                <w:color w:val="auto"/>
                <w:szCs w:val="20"/>
                <w:lang w:eastAsia="zh-CN"/>
              </w:rPr>
              <w:t>这些区域范围</w:t>
            </w:r>
            <w:r>
              <w:rPr>
                <w:rFonts w:ascii="Times New Roman" w:hAnsi="Times New Roman"/>
                <w:snapToGrid w:val="0"/>
                <w:color w:val="auto"/>
                <w:szCs w:val="20"/>
              </w:rPr>
              <w:t>中的土地为点状分布，工程建设中严格采取水土保持措施后对区域水土保持、抵御大风等防护效能和生物多样性的影响不大。</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fldChar w:fldCharType="begin"/>
            </w:r>
            <w:r>
              <w:rPr>
                <w:rFonts w:ascii="Times New Roman" w:hAnsi="Times New Roman"/>
                <w:snapToGrid w:val="0"/>
                <w:color w:val="auto"/>
                <w:szCs w:val="20"/>
              </w:rPr>
              <w:instrText xml:space="preserve"> = 2 \* GB3 </w:instrText>
            </w:r>
            <w:r>
              <w:rPr>
                <w:rFonts w:ascii="Times New Roman" w:hAnsi="Times New Roman"/>
                <w:snapToGrid w:val="0"/>
                <w:color w:val="auto"/>
                <w:szCs w:val="20"/>
              </w:rPr>
              <w:fldChar w:fldCharType="separate"/>
            </w:r>
            <w:r>
              <w:rPr>
                <w:rFonts w:hint="eastAsia" w:ascii="Times New Roman" w:hAnsi="Times New Roman" w:cs="宋体"/>
                <w:snapToGrid w:val="0"/>
                <w:color w:val="auto"/>
                <w:szCs w:val="20"/>
              </w:rPr>
              <w:t>②</w:t>
            </w:r>
            <w:r>
              <w:rPr>
                <w:rFonts w:ascii="Times New Roman" w:hAnsi="Times New Roman"/>
                <w:snapToGrid w:val="0"/>
                <w:color w:val="auto"/>
                <w:szCs w:val="20"/>
              </w:rPr>
              <w:fldChar w:fldCharType="end"/>
            </w:r>
            <w:r>
              <w:rPr>
                <w:rFonts w:ascii="Times New Roman" w:hAnsi="Times New Roman"/>
                <w:color w:val="auto"/>
                <w:szCs w:val="20"/>
              </w:rPr>
              <w:t>临时占地对生态环境的影响</w:t>
            </w:r>
          </w:p>
          <w:p>
            <w:pPr>
              <w:spacing w:line="360" w:lineRule="auto"/>
              <w:ind w:firstLine="420" w:firstLineChars="200"/>
              <w:rPr>
                <w:rFonts w:ascii="Times New Roman" w:hAnsi="Times New Roman"/>
                <w:snapToGrid w:val="0"/>
                <w:color w:val="auto"/>
                <w:szCs w:val="20"/>
              </w:rPr>
            </w:pPr>
            <w:r>
              <w:rPr>
                <w:rFonts w:ascii="Times New Roman" w:hAnsi="Times New Roman"/>
                <w:color w:val="auto"/>
                <w:szCs w:val="20"/>
              </w:rPr>
              <w:t>除永久占地</w:t>
            </w:r>
            <w:r>
              <w:rPr>
                <w:rFonts w:ascii="Times New Roman" w:hAnsi="Times New Roman"/>
                <w:snapToGrid w:val="0"/>
                <w:color w:val="auto"/>
                <w:szCs w:val="20"/>
              </w:rPr>
              <w:t>外，工程施工过程中</w:t>
            </w:r>
            <w:r>
              <w:rPr>
                <w:rFonts w:hint="eastAsia" w:ascii="Times New Roman" w:hAnsi="Times New Roman"/>
                <w:snapToGrid w:val="0"/>
                <w:color w:val="auto"/>
                <w:szCs w:val="20"/>
                <w:lang w:eastAsia="zh-CN"/>
              </w:rPr>
              <w:t>塔基施工区、</w:t>
            </w:r>
            <w:r>
              <w:rPr>
                <w:rFonts w:hint="eastAsia" w:ascii="Times New Roman" w:hAnsi="Times New Roman"/>
                <w:snapToGrid w:val="0"/>
                <w:color w:val="auto"/>
                <w:szCs w:val="20"/>
              </w:rPr>
              <w:t>牵张场、</w:t>
            </w:r>
            <w:r>
              <w:rPr>
                <w:rFonts w:ascii="Times New Roman" w:hAnsi="Times New Roman"/>
                <w:snapToGrid w:val="0"/>
                <w:color w:val="auto"/>
                <w:szCs w:val="20"/>
              </w:rPr>
              <w:t>施工道路、</w:t>
            </w:r>
            <w:r>
              <w:rPr>
                <w:rFonts w:hint="eastAsia" w:ascii="Times New Roman" w:hAnsi="Times New Roman"/>
                <w:snapToGrid w:val="0"/>
                <w:color w:val="auto"/>
                <w:szCs w:val="20"/>
              </w:rPr>
              <w:t>材料堆放场</w:t>
            </w:r>
            <w:r>
              <w:rPr>
                <w:rFonts w:ascii="Times New Roman" w:hAnsi="Times New Roman"/>
                <w:snapToGrid w:val="0"/>
                <w:color w:val="auto"/>
                <w:szCs w:val="20"/>
              </w:rPr>
              <w:t>仍需临时占用部分土地，使占地处植被等遭到短期破坏，对生态环境造成不利的影响，但临时占地的影响程度轻，并在施工期结束后可</w:t>
            </w:r>
            <w:r>
              <w:rPr>
                <w:rFonts w:hint="eastAsia" w:ascii="Times New Roman" w:hAnsi="Times New Roman"/>
                <w:snapToGrid w:val="0"/>
                <w:color w:val="auto"/>
                <w:szCs w:val="20"/>
              </w:rPr>
              <w:t>立即进行</w:t>
            </w:r>
            <w:r>
              <w:rPr>
                <w:rFonts w:ascii="Times New Roman" w:hAnsi="Times New Roman"/>
                <w:snapToGrid w:val="0"/>
                <w:color w:val="auto"/>
                <w:szCs w:val="20"/>
              </w:rPr>
              <w:t>恢复</w:t>
            </w:r>
            <w:r>
              <w:rPr>
                <w:rFonts w:hint="eastAsia" w:ascii="Times New Roman" w:hAnsi="Times New Roman"/>
                <w:snapToGrid w:val="0"/>
                <w:color w:val="auto"/>
                <w:szCs w:val="20"/>
                <w:lang w:eastAsia="zh-CN"/>
              </w:rPr>
              <w:t>。</w:t>
            </w:r>
            <w:r>
              <w:rPr>
                <w:rFonts w:hint="eastAsia" w:ascii="Times New Roman" w:hAnsi="Times New Roman"/>
                <w:snapToGrid w:val="0"/>
                <w:color w:val="auto"/>
                <w:szCs w:val="20"/>
                <w:lang w:val="en-US" w:eastAsia="en-US"/>
              </w:rPr>
              <w:t>铁塔基施工区围绕塔基四周布设，本项目在每基塔塔基区周边设置了塔基施工区，主要用于材料临时堆放等</w:t>
            </w:r>
            <w:r>
              <w:rPr>
                <w:rFonts w:hint="eastAsia" w:ascii="Times New Roman" w:hAnsi="Times New Roman"/>
                <w:snapToGrid w:val="0"/>
                <w:color w:val="auto"/>
                <w:szCs w:val="20"/>
                <w:lang w:val="en-US" w:eastAsia="zh-CN"/>
              </w:rPr>
              <w:t>，</w:t>
            </w:r>
            <w:r>
              <w:rPr>
                <w:rFonts w:hint="eastAsia" w:ascii="Times New Roman" w:hAnsi="Times New Roman"/>
                <w:snapToGrid w:val="0"/>
                <w:color w:val="auto"/>
                <w:szCs w:val="20"/>
                <w:lang w:val="en-US" w:eastAsia="en-US"/>
              </w:rPr>
              <w:t>为临时占地。经</w:t>
            </w:r>
            <w:r>
              <w:rPr>
                <w:rFonts w:hint="eastAsia" w:ascii="Times New Roman" w:hAnsi="Times New Roman"/>
                <w:snapToGrid w:val="0"/>
                <w:color w:val="auto"/>
                <w:szCs w:val="20"/>
                <w:lang w:val="en-US" w:eastAsia="zh-CN"/>
              </w:rPr>
              <w:t>核实</w:t>
            </w:r>
            <w:r>
              <w:rPr>
                <w:rFonts w:hint="eastAsia" w:ascii="Times New Roman" w:hAnsi="Times New Roman"/>
                <w:snapToGrid w:val="0"/>
                <w:color w:val="auto"/>
                <w:szCs w:val="20"/>
                <w:lang w:val="en-US" w:eastAsia="en-US"/>
              </w:rPr>
              <w:t>，共设置了</w:t>
            </w:r>
            <w:r>
              <w:rPr>
                <w:rFonts w:hint="eastAsia" w:ascii="Times New Roman" w:hAnsi="Times New Roman"/>
                <w:snapToGrid w:val="0"/>
                <w:color w:val="auto"/>
                <w:szCs w:val="20"/>
                <w:lang w:val="en-US" w:eastAsia="zh-CN"/>
              </w:rPr>
              <w:t>165</w:t>
            </w:r>
            <w:r>
              <w:rPr>
                <w:rFonts w:hint="eastAsia" w:ascii="Times New Roman" w:hAnsi="Times New Roman"/>
                <w:snapToGrid w:val="0"/>
                <w:color w:val="auto"/>
                <w:szCs w:val="20"/>
                <w:lang w:val="en-US" w:eastAsia="en-US"/>
              </w:rPr>
              <w:t>个铁塔塔基施工场地</w:t>
            </w:r>
            <w:r>
              <w:rPr>
                <w:rFonts w:hint="eastAsia" w:ascii="Times New Roman" w:hAnsi="Times New Roman"/>
                <w:snapToGrid w:val="0"/>
                <w:color w:val="auto"/>
                <w:szCs w:val="20"/>
                <w:lang w:val="en-US" w:eastAsia="zh-CN"/>
              </w:rPr>
              <w:t>。</w:t>
            </w:r>
            <w:r>
              <w:rPr>
                <w:rFonts w:hint="eastAsia" w:ascii="Times New Roman" w:hAnsi="Times New Roman"/>
                <w:snapToGrid w:val="0"/>
                <w:color w:val="auto"/>
                <w:szCs w:val="20"/>
                <w:lang w:val="en-US" w:eastAsia="en-US"/>
              </w:rPr>
              <w:t>项目必须设置牵张场，根据工程要求，项目必须在</w:t>
            </w:r>
            <w:r>
              <w:rPr>
                <w:rFonts w:hint="eastAsia" w:ascii="Times New Roman" w:hAnsi="Times New Roman"/>
                <w:snapToGrid w:val="0"/>
                <w:color w:val="auto"/>
                <w:szCs w:val="20"/>
                <w:lang w:val="en-US" w:eastAsia="zh-CN"/>
              </w:rPr>
              <w:t>5~8</w:t>
            </w:r>
            <w:r>
              <w:rPr>
                <w:rFonts w:hint="eastAsia" w:ascii="Times New Roman" w:hAnsi="Times New Roman"/>
                <w:snapToGrid w:val="0"/>
                <w:color w:val="auto"/>
                <w:szCs w:val="20"/>
                <w:lang w:val="en-US" w:eastAsia="en-US"/>
              </w:rPr>
              <w:t>km之间设置牵张场1处，本项目无法再进行优化。</w:t>
            </w:r>
            <w:r>
              <w:rPr>
                <w:rFonts w:hint="eastAsia" w:ascii="Times New Roman" w:hAnsi="Times New Roman"/>
                <w:snapToGrid w:val="0"/>
                <w:color w:val="auto"/>
                <w:szCs w:val="20"/>
              </w:rPr>
              <w:t>本工程线路需</w:t>
            </w:r>
            <w:r>
              <w:rPr>
                <w:rFonts w:hint="eastAsia" w:ascii="Times New Roman" w:hAnsi="Times New Roman"/>
                <w:snapToGrid w:val="0"/>
                <w:color w:val="auto"/>
                <w:szCs w:val="20"/>
                <w:lang w:val="en-US" w:eastAsia="zh-CN"/>
              </w:rPr>
              <w:t>10</w:t>
            </w:r>
            <w:r>
              <w:rPr>
                <w:rFonts w:hint="eastAsia" w:ascii="Times New Roman" w:hAnsi="Times New Roman"/>
                <w:snapToGrid w:val="0"/>
                <w:color w:val="auto"/>
                <w:szCs w:val="20"/>
              </w:rPr>
              <w:t>处牵张场，临时占地约</w:t>
            </w:r>
            <w:r>
              <w:rPr>
                <w:rFonts w:hint="eastAsia" w:ascii="Times New Roman" w:hAnsi="Times New Roman"/>
                <w:snapToGrid w:val="0"/>
                <w:color w:val="auto"/>
                <w:szCs w:val="20"/>
                <w:lang w:val="en-US" w:eastAsia="zh-CN"/>
              </w:rPr>
              <w:t>20</w:t>
            </w:r>
            <w:r>
              <w:rPr>
                <w:rFonts w:hint="eastAsia" w:ascii="Times New Roman" w:hAnsi="Times New Roman"/>
                <w:snapToGrid w:val="0"/>
                <w:color w:val="auto"/>
                <w:szCs w:val="20"/>
              </w:rPr>
              <w:t>00m</w:t>
            </w:r>
            <w:r>
              <w:rPr>
                <w:rFonts w:hint="eastAsia" w:ascii="Times New Roman" w:hAnsi="Times New Roman"/>
                <w:snapToGrid w:val="0"/>
                <w:color w:val="auto"/>
                <w:szCs w:val="20"/>
                <w:vertAlign w:val="superscript"/>
              </w:rPr>
              <w:t>2</w:t>
            </w:r>
            <w:r>
              <w:rPr>
                <w:rFonts w:hint="eastAsia" w:ascii="Times New Roman" w:hAnsi="Times New Roman"/>
                <w:snapToGrid w:val="0"/>
                <w:color w:val="auto"/>
                <w:szCs w:val="20"/>
              </w:rPr>
              <w:t>，料场占地有限，</w:t>
            </w:r>
            <w:r>
              <w:rPr>
                <w:rFonts w:hint="eastAsia" w:ascii="Times New Roman" w:hAnsi="Times New Roman"/>
                <w:snapToGrid w:val="0"/>
                <w:color w:val="auto"/>
                <w:szCs w:val="20"/>
                <w:lang w:eastAsia="zh-CN"/>
              </w:rPr>
              <w:t>除塔基施工区以外的</w:t>
            </w:r>
            <w:r>
              <w:rPr>
                <w:rFonts w:hint="eastAsia" w:ascii="Times New Roman" w:hAnsi="Times New Roman"/>
                <w:snapToGrid w:val="0"/>
                <w:color w:val="auto"/>
                <w:szCs w:val="20"/>
              </w:rPr>
              <w:t>临时占地使用</w:t>
            </w:r>
            <w:r>
              <w:rPr>
                <w:rFonts w:hint="eastAsia" w:ascii="Times New Roman" w:hAnsi="Times New Roman"/>
                <w:snapToGrid w:val="0"/>
                <w:color w:val="auto"/>
                <w:szCs w:val="20"/>
                <w:lang w:eastAsia="zh-CN"/>
              </w:rPr>
              <w:t>以</w:t>
            </w:r>
            <w:r>
              <w:rPr>
                <w:rFonts w:hint="eastAsia" w:ascii="Times New Roman" w:hAnsi="Times New Roman"/>
                <w:snapToGrid w:val="0"/>
                <w:color w:val="auto"/>
                <w:szCs w:val="20"/>
              </w:rPr>
              <w:t>沿线</w:t>
            </w:r>
            <w:r>
              <w:rPr>
                <w:rFonts w:hint="eastAsia" w:ascii="Times New Roman" w:hAnsi="Times New Roman"/>
                <w:snapToGrid w:val="0"/>
                <w:color w:val="auto"/>
                <w:szCs w:val="20"/>
                <w:lang w:eastAsia="zh-CN"/>
              </w:rPr>
              <w:t>已有道路周边或</w:t>
            </w:r>
            <w:r>
              <w:rPr>
                <w:rFonts w:hint="eastAsia" w:ascii="Times New Roman" w:hAnsi="Times New Roman"/>
                <w:snapToGrid w:val="0"/>
                <w:color w:val="auto"/>
                <w:szCs w:val="20"/>
              </w:rPr>
              <w:t>荒地</w:t>
            </w:r>
            <w:r>
              <w:rPr>
                <w:rFonts w:hint="eastAsia" w:ascii="Times New Roman" w:hAnsi="Times New Roman"/>
                <w:snapToGrid w:val="0"/>
                <w:color w:val="auto"/>
                <w:szCs w:val="20"/>
                <w:lang w:eastAsia="zh-CN"/>
              </w:rPr>
              <w:t>为首要选择</w:t>
            </w:r>
            <w:r>
              <w:rPr>
                <w:rFonts w:hint="eastAsia" w:ascii="Times New Roman" w:hAnsi="Times New Roman"/>
                <w:snapToGrid w:val="0"/>
                <w:color w:val="auto"/>
                <w:szCs w:val="20"/>
              </w:rPr>
              <w:t>，</w:t>
            </w:r>
            <w:r>
              <w:rPr>
                <w:rFonts w:ascii="Times New Roman" w:hAnsi="Times New Roman"/>
                <w:snapToGrid w:val="0"/>
                <w:color w:val="auto"/>
                <w:szCs w:val="20"/>
              </w:rPr>
              <w:t>尽量不占用农田与林地</w:t>
            </w:r>
            <w:r>
              <w:rPr>
                <w:rFonts w:hint="eastAsia" w:ascii="Times New Roman" w:hAnsi="Times New Roman"/>
                <w:snapToGrid w:val="0"/>
                <w:color w:val="auto"/>
                <w:szCs w:val="20"/>
              </w:rPr>
              <w:t>。本工程线路施工完毕后立即进行填埋平整并对临时占地地面进行原地貌恢复。</w:t>
            </w:r>
            <w:r>
              <w:rPr>
                <w:rFonts w:ascii="Times New Roman" w:hAnsi="Times New Roman"/>
                <w:snapToGrid w:val="0"/>
                <w:color w:val="auto"/>
                <w:szCs w:val="20"/>
              </w:rPr>
              <w:t>当线路</w:t>
            </w:r>
            <w:r>
              <w:rPr>
                <w:rFonts w:hint="eastAsia" w:ascii="Times New Roman" w:hAnsi="Times New Roman"/>
                <w:snapToGrid w:val="0"/>
                <w:color w:val="auto"/>
                <w:szCs w:val="20"/>
                <w:lang w:eastAsia="zh-CN"/>
              </w:rPr>
              <w:t>穿越</w:t>
            </w:r>
            <w:r>
              <w:rPr>
                <w:rFonts w:ascii="Times New Roman" w:hAnsi="Times New Roman"/>
                <w:snapToGrid w:val="0"/>
                <w:color w:val="auto"/>
                <w:szCs w:val="20"/>
              </w:rPr>
              <w:t>海南省陆域</w:t>
            </w:r>
            <w:r>
              <w:rPr>
                <w:rFonts w:hint="eastAsia" w:ascii="Times New Roman" w:hAnsi="Times New Roman"/>
                <w:snapToGrid w:val="0"/>
                <w:color w:val="auto"/>
                <w:szCs w:val="20"/>
                <w:lang w:eastAsia="zh-CN"/>
              </w:rPr>
              <w:t>Ⅱ类</w:t>
            </w:r>
            <w:r>
              <w:rPr>
                <w:rFonts w:ascii="Times New Roman" w:hAnsi="Times New Roman"/>
                <w:snapToGrid w:val="0"/>
                <w:color w:val="auto"/>
                <w:szCs w:val="20"/>
              </w:rPr>
              <w:t>生态保护红线区</w:t>
            </w:r>
            <w:r>
              <w:rPr>
                <w:rFonts w:hint="eastAsia" w:ascii="Times New Roman" w:hAnsi="Times New Roman"/>
                <w:snapToGrid w:val="0"/>
                <w:color w:val="auto"/>
                <w:szCs w:val="20"/>
                <w:lang w:eastAsia="zh-CN"/>
              </w:rPr>
              <w:t>、南渡江龙塘</w:t>
            </w:r>
            <w:r>
              <w:rPr>
                <w:rFonts w:ascii="Times New Roman" w:hAnsi="Times New Roman"/>
                <w:snapToGrid w:val="0"/>
                <w:color w:val="auto"/>
                <w:szCs w:val="20"/>
              </w:rPr>
              <w:t>饮用水水源保护区</w:t>
            </w:r>
            <w:r>
              <w:rPr>
                <w:rFonts w:hint="eastAsia" w:ascii="Times New Roman" w:hAnsi="Times New Roman"/>
                <w:snapToGrid w:val="0"/>
                <w:color w:val="auto"/>
                <w:szCs w:val="20"/>
                <w:lang w:eastAsia="zh-CN"/>
              </w:rPr>
              <w:t>二级保护区及准保护区的水域和陆域、羊山湿地多用途管理区的水源涵养与蓄洪生态功能区</w:t>
            </w:r>
            <w:r>
              <w:rPr>
                <w:rFonts w:hint="eastAsia" w:ascii="Times New Roman" w:hAnsi="Times New Roman"/>
                <w:color w:val="auto"/>
                <w:lang w:eastAsia="zh-CN"/>
              </w:rPr>
              <w:t>和新旧沟湿地乡村公园，跨越新旧沟湿地保护小区和海口三十六曲溪省级湿地公园</w:t>
            </w:r>
            <w:r>
              <w:rPr>
                <w:rFonts w:ascii="Times New Roman" w:hAnsi="Times New Roman"/>
                <w:snapToGrid w:val="0"/>
                <w:color w:val="auto"/>
                <w:szCs w:val="20"/>
              </w:rPr>
              <w:t>时，</w:t>
            </w:r>
            <w:r>
              <w:rPr>
                <w:rFonts w:hint="eastAsia"/>
                <w:color w:val="auto"/>
              </w:rPr>
              <w:t>除了设置必要的塔基施工场地外，禁止设置弃土弃渣场</w:t>
            </w:r>
            <w:r>
              <w:rPr>
                <w:rFonts w:hint="eastAsia"/>
                <w:color w:val="auto"/>
                <w:lang w:eastAsia="zh-CN"/>
              </w:rPr>
              <w:t>、</w:t>
            </w:r>
            <w:r>
              <w:rPr>
                <w:rFonts w:hint="eastAsia"/>
                <w:bCs/>
                <w:color w:val="auto"/>
              </w:rPr>
              <w:t>材料场、堆料场</w:t>
            </w:r>
            <w:r>
              <w:rPr>
                <w:rFonts w:hint="eastAsia"/>
                <w:color w:val="auto"/>
              </w:rPr>
              <w:t>和施工生活区</w:t>
            </w:r>
            <w:r>
              <w:rPr>
                <w:rFonts w:hint="eastAsia"/>
                <w:bCs/>
                <w:color w:val="auto"/>
              </w:rPr>
              <w:t>等临时</w:t>
            </w:r>
            <w:r>
              <w:rPr>
                <w:rFonts w:hint="eastAsia"/>
                <w:color w:val="auto"/>
                <w:lang w:eastAsia="zh-CN"/>
              </w:rPr>
              <w:t>用地，牵张场可在这些敏感区规划范围外设置</w:t>
            </w:r>
            <w:r>
              <w:rPr>
                <w:rFonts w:hint="eastAsia"/>
                <w:color w:val="auto"/>
              </w:rPr>
              <w:t>。</w:t>
            </w:r>
            <w:r>
              <w:rPr>
                <w:rFonts w:hint="eastAsia"/>
                <w:color w:val="auto"/>
                <w:lang w:val="en-US" w:eastAsia="en-US"/>
              </w:rPr>
              <w:t>基础开挖土料就地在塔基施工区集中堆放，铁塔基础浇筑完毕后全部回填于基坑及平铺于基础间空地。施工过程中</w:t>
            </w:r>
            <w:r>
              <w:rPr>
                <w:rFonts w:hint="eastAsia"/>
                <w:color w:val="auto"/>
                <w:lang w:val="en-US" w:eastAsia="zh-CN"/>
              </w:rPr>
              <w:t>不应</w:t>
            </w:r>
            <w:r>
              <w:rPr>
                <w:rFonts w:hint="eastAsia"/>
                <w:color w:val="auto"/>
                <w:lang w:val="en-US" w:eastAsia="en-US"/>
              </w:rPr>
              <w:t>产生弃土，也</w:t>
            </w:r>
            <w:r>
              <w:rPr>
                <w:rFonts w:hint="eastAsia"/>
                <w:color w:val="auto"/>
                <w:lang w:val="en-US" w:eastAsia="zh-CN"/>
              </w:rPr>
              <w:t>不能</w:t>
            </w:r>
            <w:r>
              <w:rPr>
                <w:rFonts w:hint="eastAsia"/>
                <w:color w:val="auto"/>
                <w:lang w:val="en-US" w:eastAsia="en-US"/>
              </w:rPr>
              <w:t>在</w:t>
            </w:r>
            <w:r>
              <w:rPr>
                <w:rFonts w:hint="eastAsia"/>
                <w:color w:val="auto"/>
                <w:lang w:val="en-US" w:eastAsia="zh-CN"/>
              </w:rPr>
              <w:t>其</w:t>
            </w:r>
            <w:r>
              <w:rPr>
                <w:rFonts w:hint="eastAsia"/>
                <w:color w:val="auto"/>
                <w:lang w:val="en-US" w:eastAsia="en-US"/>
              </w:rPr>
              <w:t>内设取弃土场。</w:t>
            </w:r>
            <w:r>
              <w:rPr>
                <w:rFonts w:ascii="Times New Roman" w:hAnsi="Times New Roman"/>
                <w:snapToGrid w:val="0"/>
                <w:color w:val="auto"/>
                <w:szCs w:val="20"/>
              </w:rPr>
              <w:t>本工程线路施工完毕后立即进行填埋平整并对临时占地地面进行原地貌恢复和植被恢复，尽量减小对</w:t>
            </w:r>
            <w:r>
              <w:rPr>
                <w:rFonts w:hint="eastAsia" w:ascii="Times New Roman" w:hAnsi="Times New Roman"/>
                <w:snapToGrid w:val="0"/>
                <w:color w:val="auto"/>
                <w:szCs w:val="20"/>
              </w:rPr>
              <w:t>生态</w:t>
            </w:r>
            <w:r>
              <w:rPr>
                <w:rFonts w:ascii="Times New Roman" w:hAnsi="Times New Roman"/>
                <w:snapToGrid w:val="0"/>
                <w:color w:val="auto"/>
                <w:szCs w:val="20"/>
              </w:rPr>
              <w:t>的影响。</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（2）</w:t>
            </w:r>
            <w:r>
              <w:rPr>
                <w:rFonts w:ascii="Times New Roman" w:hAnsi="Times New Roman"/>
                <w:color w:val="auto"/>
                <w:szCs w:val="20"/>
              </w:rPr>
              <w:t>拟采取的生态防护和恢复措施</w:t>
            </w:r>
          </w:p>
          <w:p>
            <w:pPr>
              <w:spacing w:line="360" w:lineRule="auto"/>
              <w:ind w:firstLine="420" w:firstLineChars="200"/>
              <w:rPr>
                <w:rFonts w:ascii="Times New Roman" w:hAnsi="Times New Roman"/>
                <w:snapToGrid w:val="0"/>
                <w:color w:val="auto"/>
                <w:szCs w:val="20"/>
              </w:rPr>
            </w:pPr>
            <w:r>
              <w:rPr>
                <w:rFonts w:hint="eastAsia" w:ascii="Times New Roman" w:hAnsi="Times New Roman"/>
                <w:snapToGrid w:val="0"/>
                <w:color w:val="auto"/>
                <w:szCs w:val="20"/>
              </w:rPr>
              <w:t>①</w:t>
            </w:r>
            <w:r>
              <w:rPr>
                <w:rFonts w:ascii="Times New Roman" w:hAnsi="Times New Roman"/>
                <w:snapToGrid w:val="0"/>
                <w:color w:val="auto"/>
                <w:szCs w:val="20"/>
              </w:rPr>
              <w:t>施工准备期</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施工前对施工人员广泛宣传动植物保护的法律法规与政策，增强他们对生态环境的保护意识，避免对植被进行随意破坏。</w:t>
            </w:r>
          </w:p>
          <w:p>
            <w:pPr>
              <w:spacing w:line="360" w:lineRule="auto"/>
              <w:ind w:firstLine="420" w:firstLineChars="200"/>
              <w:rPr>
                <w:rFonts w:ascii="Times New Roman" w:hAnsi="Times New Roman"/>
                <w:snapToGrid w:val="0"/>
                <w:color w:val="auto"/>
                <w:szCs w:val="20"/>
              </w:rPr>
            </w:pPr>
            <w:r>
              <w:rPr>
                <w:rFonts w:hint="eastAsia" w:ascii="Times New Roman" w:hAnsi="Times New Roman"/>
                <w:snapToGrid w:val="0"/>
                <w:color w:val="auto"/>
                <w:szCs w:val="20"/>
              </w:rPr>
              <w:t>②</w:t>
            </w:r>
            <w:r>
              <w:rPr>
                <w:rFonts w:ascii="Times New Roman" w:hAnsi="Times New Roman"/>
                <w:snapToGrid w:val="0"/>
                <w:color w:val="auto"/>
                <w:szCs w:val="20"/>
              </w:rPr>
              <w:t>施工期</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施工过程中对植被应加强保护、严格管理，严禁乱垦、乱挖、乱占和其他破坏植被的行为。材料运输过程中，运输道路应充分利用</w:t>
            </w:r>
            <w:r>
              <w:rPr>
                <w:rFonts w:hint="eastAsia" w:ascii="Times New Roman" w:hAnsi="Times New Roman"/>
                <w:snapToGrid w:val="0"/>
                <w:color w:val="auto"/>
                <w:szCs w:val="20"/>
                <w:lang w:eastAsia="zh-CN"/>
              </w:rPr>
              <w:t>已建</w:t>
            </w:r>
            <w:r>
              <w:rPr>
                <w:rFonts w:ascii="Times New Roman" w:hAnsi="Times New Roman"/>
                <w:snapToGrid w:val="0"/>
                <w:color w:val="auto"/>
                <w:szCs w:val="20"/>
              </w:rPr>
              <w:t>道路</w:t>
            </w:r>
            <w:r>
              <w:rPr>
                <w:rFonts w:hint="eastAsia" w:ascii="Times New Roman" w:hAnsi="Times New Roman"/>
                <w:snapToGrid w:val="0"/>
                <w:color w:val="auto"/>
                <w:szCs w:val="20"/>
              </w:rPr>
              <w:t>，</w:t>
            </w:r>
            <w:r>
              <w:rPr>
                <w:rFonts w:ascii="Times New Roman" w:hAnsi="Times New Roman"/>
                <w:snapToGrid w:val="0"/>
                <w:color w:val="auto"/>
                <w:szCs w:val="20"/>
              </w:rPr>
              <w:t>材料运至施工场地后，应合理布置</w:t>
            </w:r>
            <w:r>
              <w:rPr>
                <w:rFonts w:hint="eastAsia" w:ascii="Times New Roman" w:hAnsi="Times New Roman"/>
                <w:snapToGrid w:val="0"/>
                <w:color w:val="auto"/>
                <w:szCs w:val="20"/>
              </w:rPr>
              <w:t>，可</w:t>
            </w:r>
            <w:r>
              <w:rPr>
                <w:rFonts w:ascii="Times New Roman" w:hAnsi="Times New Roman"/>
                <w:snapToGrid w:val="0"/>
                <w:color w:val="auto"/>
                <w:szCs w:val="20"/>
              </w:rPr>
              <w:t>选择植被稀疏地进行堆放，减少对临时占地和对植被的占压。</w:t>
            </w:r>
          </w:p>
          <w:p>
            <w:pPr>
              <w:spacing w:line="360" w:lineRule="auto"/>
              <w:ind w:firstLine="420" w:firstLineChars="200"/>
              <w:rPr>
                <w:rFonts w:hint="eastAsia" w:ascii="Times New Roman" w:hAnsi="Times New Roman"/>
                <w:snapToGrid w:val="0"/>
                <w:color w:val="auto"/>
                <w:szCs w:val="20"/>
              </w:rPr>
            </w:pPr>
            <w:r>
              <w:rPr>
                <w:rFonts w:hint="eastAsia" w:ascii="Times New Roman" w:hAnsi="Times New Roman"/>
                <w:snapToGrid w:val="0"/>
                <w:color w:val="auto"/>
                <w:szCs w:val="20"/>
              </w:rPr>
              <w:t>线路</w:t>
            </w:r>
            <w:r>
              <w:rPr>
                <w:rFonts w:ascii="Times New Roman" w:hAnsi="Times New Roman"/>
                <w:snapToGrid w:val="0"/>
                <w:color w:val="auto"/>
                <w:szCs w:val="20"/>
              </w:rPr>
              <w:t>基础施工过程中堆放砂石及水泥的地面，用彩条塑料布与地面隔离，以减少对地表植被的破坏。基础开挖时，进行表土剥离，将表土和熟化土分开堆放，以便施工结束后尽快恢复植被。施工后及时清理现场，尽可能恢复原状地貌，将余土和施工废弃物运出现场，做到“工完、料尽、场地清”，对塔基永久占地未固化处</w:t>
            </w:r>
            <w:r>
              <w:rPr>
                <w:rFonts w:hint="eastAsia" w:ascii="Times New Roman" w:hAnsi="Times New Roman"/>
                <w:snapToGrid w:val="0"/>
                <w:color w:val="auto"/>
                <w:szCs w:val="20"/>
              </w:rPr>
              <w:t>进行复耕，对</w:t>
            </w:r>
            <w:r>
              <w:rPr>
                <w:rFonts w:ascii="Times New Roman" w:hAnsi="Times New Roman"/>
                <w:snapToGrid w:val="0"/>
                <w:color w:val="auto"/>
                <w:szCs w:val="20"/>
              </w:rPr>
              <w:t>临时占地进行植被恢复。</w:t>
            </w:r>
          </w:p>
          <w:p>
            <w:pPr>
              <w:spacing w:line="360" w:lineRule="auto"/>
              <w:ind w:firstLine="420" w:firstLineChars="200"/>
              <w:rPr>
                <w:rFonts w:hint="eastAsia" w:ascii="Times New Roman" w:hAnsi="Times New Roman" w:cs="Times New Roman"/>
                <w:snapToGrid w:val="0"/>
                <w:color w:val="auto"/>
                <w:szCs w:val="20"/>
              </w:rPr>
            </w:pPr>
            <w:r>
              <w:rPr>
                <w:rFonts w:hint="eastAsia" w:ascii="Times New Roman" w:hAnsi="Times New Roman"/>
                <w:snapToGrid w:val="0"/>
                <w:color w:val="auto"/>
                <w:szCs w:val="20"/>
              </w:rPr>
              <w:t>本工程线</w:t>
            </w:r>
            <w:r>
              <w:rPr>
                <w:rFonts w:hint="eastAsia" w:ascii="Times New Roman" w:hAnsi="Times New Roman" w:cs="Times New Roman"/>
                <w:color w:val="auto"/>
                <w:sz w:val="21"/>
                <w:szCs w:val="21"/>
                <w:lang w:eastAsia="zh-CN"/>
              </w:rPr>
              <w:t>穿越</w:t>
            </w:r>
            <w:r>
              <w:rPr>
                <w:rFonts w:hint="eastAsia" w:ascii="Times New Roman" w:hAnsi="Times New Roman" w:cs="Times New Roman"/>
                <w:color w:val="auto"/>
                <w:sz w:val="21"/>
                <w:szCs w:val="21"/>
                <w:lang w:val="en-US" w:eastAsia="zh-CN"/>
              </w:rPr>
              <w:t>4</w:t>
            </w:r>
            <w:r>
              <w:rPr>
                <w:rFonts w:hint="eastAsia" w:ascii="Times New Roman" w:hAnsi="Times New Roman" w:cs="Times New Roman"/>
                <w:color w:val="auto"/>
                <w:sz w:val="21"/>
                <w:szCs w:val="21"/>
                <w:lang w:eastAsia="zh-CN"/>
              </w:rPr>
              <w:t>处海南省陆域Ⅱ类生态保护红线区（共计</w:t>
            </w:r>
            <w:r>
              <w:rPr>
                <w:rFonts w:hint="eastAsia" w:ascii="Times New Roman" w:hAnsi="Times New Roman" w:cs="Times New Roman"/>
                <w:color w:val="auto"/>
                <w:sz w:val="21"/>
                <w:szCs w:val="21"/>
                <w:lang w:val="en-US" w:eastAsia="zh-CN"/>
              </w:rPr>
              <w:t>6.76km</w:t>
            </w:r>
            <w:r>
              <w:rPr>
                <w:rFonts w:hint="eastAsia" w:ascii="Times New Roman" w:hAnsi="Times New Roman" w:cs="Times New Roman"/>
                <w:color w:val="auto"/>
                <w:sz w:val="21"/>
                <w:szCs w:val="21"/>
                <w:lang w:eastAsia="zh-CN"/>
              </w:rPr>
              <w:t>）、南渡江龙塘饮用水水源保护区二级和准保护区的水域及陆域（共计</w:t>
            </w:r>
            <w:r>
              <w:rPr>
                <w:rFonts w:hint="eastAsia" w:ascii="Times New Roman" w:hAnsi="Times New Roman" w:cs="Times New Roman"/>
                <w:color w:val="auto"/>
                <w:sz w:val="21"/>
                <w:szCs w:val="21"/>
                <w:lang w:val="en-US" w:eastAsia="zh-CN"/>
              </w:rPr>
              <w:t>3.8km</w:t>
            </w:r>
            <w:r>
              <w:rPr>
                <w:rFonts w:hint="eastAsia" w:ascii="Times New Roman" w:hAnsi="Times New Roman" w:cs="Times New Roman"/>
                <w:color w:val="auto"/>
                <w:sz w:val="21"/>
                <w:szCs w:val="21"/>
                <w:lang w:eastAsia="zh-CN"/>
              </w:rPr>
              <w:t>）及依附南渡江支流形成的新旧沟湿地乡村公园（</w:t>
            </w:r>
            <w:r>
              <w:rPr>
                <w:rFonts w:hint="eastAsia" w:ascii="Times New Roman" w:hAnsi="Times New Roman" w:cs="Times New Roman"/>
                <w:color w:val="auto"/>
                <w:sz w:val="21"/>
                <w:szCs w:val="21"/>
                <w:lang w:val="en-US" w:eastAsia="zh-CN"/>
              </w:rPr>
              <w:t>3.6km</w:t>
            </w:r>
            <w:r>
              <w:rPr>
                <w:rFonts w:hint="eastAsia" w:ascii="Times New Roman" w:hAnsi="Times New Roman" w:cs="Times New Roman"/>
                <w:color w:val="auto"/>
                <w:sz w:val="21"/>
                <w:szCs w:val="21"/>
                <w:lang w:eastAsia="zh-CN"/>
              </w:rPr>
              <w:t>）和羊山湿地多用途管理区（</w:t>
            </w:r>
            <w:r>
              <w:rPr>
                <w:rFonts w:hint="eastAsia" w:ascii="Times New Roman" w:hAnsi="Times New Roman" w:cs="Times New Roman"/>
                <w:color w:val="auto"/>
                <w:sz w:val="21"/>
                <w:szCs w:val="21"/>
                <w:lang w:val="en-US" w:eastAsia="zh-CN"/>
              </w:rPr>
              <w:t>14km</w:t>
            </w:r>
            <w:r>
              <w:rPr>
                <w:rFonts w:hint="eastAsia" w:ascii="Times New Roman" w:hAnsi="Times New Roman" w:cs="Times New Roman"/>
                <w:color w:val="auto"/>
                <w:sz w:val="21"/>
                <w:szCs w:val="21"/>
                <w:lang w:eastAsia="zh-CN"/>
              </w:rPr>
              <w:t>），一档跨越新旧沟湿地保护小区（累计跨越长度</w:t>
            </w:r>
            <w:r>
              <w:rPr>
                <w:rFonts w:hint="eastAsia" w:ascii="Times New Roman" w:hAnsi="Times New Roman" w:cs="Times New Roman"/>
                <w:color w:val="auto"/>
                <w:sz w:val="21"/>
                <w:szCs w:val="21"/>
                <w:lang w:val="en-US" w:eastAsia="zh-CN"/>
              </w:rPr>
              <w:t>0.17km</w:t>
            </w:r>
            <w:r>
              <w:rPr>
                <w:rFonts w:hint="eastAsia" w:ascii="Times New Roman" w:hAnsi="Times New Roman" w:cs="Times New Roman"/>
                <w:color w:val="auto"/>
                <w:sz w:val="21"/>
                <w:szCs w:val="21"/>
                <w:lang w:eastAsia="zh-CN"/>
              </w:rPr>
              <w:t>）和海口三十六曲溪省级湿地公园（累计跨越长度</w:t>
            </w:r>
            <w:r>
              <w:rPr>
                <w:rFonts w:hint="eastAsia" w:ascii="Times New Roman" w:hAnsi="Times New Roman" w:cs="Times New Roman"/>
                <w:color w:val="auto"/>
                <w:sz w:val="21"/>
                <w:szCs w:val="21"/>
                <w:lang w:val="en-US" w:eastAsia="zh-CN"/>
              </w:rPr>
              <w:t>0.8km</w:t>
            </w:r>
            <w:r>
              <w:rPr>
                <w:rFonts w:hint="eastAsia" w:ascii="Times New Roman" w:hAnsi="Times New Roman" w:cs="Times New Roman"/>
                <w:color w:val="auto"/>
                <w:sz w:val="21"/>
                <w:szCs w:val="21"/>
                <w:lang w:eastAsia="zh-CN"/>
              </w:rPr>
              <w:t>），且部分海南省省级生态保护红线区与水源保护区、湿地公园及羊山湿地多用途管理区规划范围相互重合，共计拟立塔</w:t>
            </w:r>
            <w:r>
              <w:rPr>
                <w:rFonts w:hint="eastAsia" w:ascii="Times New Roman" w:hAnsi="Times New Roman" w:cs="Times New Roman"/>
                <w:color w:val="auto"/>
                <w:sz w:val="21"/>
                <w:szCs w:val="21"/>
                <w:lang w:val="en-US" w:eastAsia="zh-CN"/>
              </w:rPr>
              <w:t>49基</w:t>
            </w:r>
            <w:r>
              <w:rPr>
                <w:rFonts w:hint="eastAsia" w:ascii="Times New Roman" w:hAnsi="Times New Roman" w:cs="Times New Roman"/>
                <w:color w:val="auto"/>
                <w:sz w:val="21"/>
                <w:szCs w:val="21"/>
                <w:lang w:eastAsia="zh-CN"/>
              </w:rPr>
              <w:t>。</w:t>
            </w:r>
            <w:r>
              <w:rPr>
                <w:rFonts w:hint="eastAsia" w:ascii="Times New Roman" w:hAnsi="Times New Roman"/>
                <w:snapToGrid w:val="0"/>
                <w:color w:val="auto"/>
                <w:szCs w:val="20"/>
              </w:rPr>
              <w:t>因此，</w:t>
            </w:r>
            <w:r>
              <w:rPr>
                <w:rFonts w:hint="eastAsia" w:ascii="Times New Roman" w:hAnsi="Times New Roman"/>
                <w:snapToGrid w:val="0"/>
                <w:color w:val="auto"/>
                <w:szCs w:val="20"/>
                <w:lang w:eastAsia="zh-CN"/>
              </w:rPr>
              <w:t>在</w:t>
            </w:r>
            <w:r>
              <w:rPr>
                <w:rFonts w:hint="eastAsia" w:ascii="Times New Roman" w:hAnsi="Times New Roman"/>
                <w:snapToGrid w:val="0"/>
                <w:color w:val="auto"/>
                <w:szCs w:val="20"/>
                <w:lang w:val="en-US" w:eastAsia="zh-CN"/>
              </w:rPr>
              <w:t>这些敏感区域规划范围内施工</w:t>
            </w:r>
            <w:r>
              <w:rPr>
                <w:rFonts w:hint="eastAsia"/>
                <w:color w:val="auto"/>
              </w:rPr>
              <w:t>除了设置必要的塔基施工场地外，禁止设置弃土弃渣场</w:t>
            </w:r>
            <w:r>
              <w:rPr>
                <w:rFonts w:hint="eastAsia"/>
                <w:color w:val="auto"/>
                <w:lang w:eastAsia="zh-CN"/>
              </w:rPr>
              <w:t>、</w:t>
            </w:r>
            <w:r>
              <w:rPr>
                <w:rFonts w:hint="eastAsia"/>
                <w:bCs/>
                <w:color w:val="auto"/>
              </w:rPr>
              <w:t>材料场、堆料场</w:t>
            </w:r>
            <w:r>
              <w:rPr>
                <w:rFonts w:hint="eastAsia"/>
                <w:color w:val="auto"/>
              </w:rPr>
              <w:t>和施工生活区</w:t>
            </w:r>
            <w:r>
              <w:rPr>
                <w:rFonts w:hint="eastAsia"/>
                <w:bCs/>
                <w:color w:val="auto"/>
              </w:rPr>
              <w:t>等临时</w:t>
            </w:r>
            <w:r>
              <w:rPr>
                <w:rFonts w:hint="eastAsia"/>
                <w:bCs/>
                <w:color w:val="auto"/>
                <w:lang w:eastAsia="zh-CN"/>
              </w:rPr>
              <w:t>用地</w:t>
            </w:r>
            <w:r>
              <w:rPr>
                <w:rFonts w:hint="eastAsia"/>
                <w:bCs/>
                <w:color w:val="auto"/>
              </w:rPr>
              <w:t>。</w:t>
            </w:r>
            <w:r>
              <w:rPr>
                <w:rFonts w:hint="eastAsia"/>
                <w:bCs/>
                <w:color w:val="auto"/>
                <w:lang w:eastAsia="zh-CN"/>
              </w:rPr>
              <w:t>牵张场尽量设置在规划范围外，</w:t>
            </w:r>
            <w:r>
              <w:rPr>
                <w:rFonts w:hint="eastAsia" w:ascii="Times New Roman" w:hAnsi="Times New Roman"/>
                <w:snapToGrid w:val="0"/>
                <w:color w:val="auto"/>
                <w:szCs w:val="20"/>
              </w:rPr>
              <w:t>同时</w:t>
            </w:r>
            <w:r>
              <w:rPr>
                <w:rFonts w:ascii="Times New Roman" w:hAnsi="Times New Roman"/>
                <w:snapToGrid w:val="0"/>
                <w:color w:val="auto"/>
                <w:szCs w:val="20"/>
              </w:rPr>
              <w:t>缩小作业区</w:t>
            </w:r>
            <w:r>
              <w:rPr>
                <w:rFonts w:hint="eastAsia" w:ascii="Times New Roman" w:hAnsi="Times New Roman"/>
                <w:snapToGrid w:val="0"/>
                <w:color w:val="auto"/>
                <w:szCs w:val="20"/>
              </w:rPr>
              <w:t>并</w:t>
            </w:r>
            <w:r>
              <w:rPr>
                <w:rFonts w:ascii="Times New Roman" w:hAnsi="Times New Roman"/>
                <w:snapToGrid w:val="0"/>
                <w:color w:val="auto"/>
                <w:szCs w:val="20"/>
              </w:rPr>
              <w:t>利用</w:t>
            </w:r>
            <w:r>
              <w:rPr>
                <w:rFonts w:hint="eastAsia" w:ascii="Times New Roman" w:hAnsi="Times New Roman"/>
                <w:snapToGrid w:val="0"/>
                <w:color w:val="auto"/>
                <w:szCs w:val="20"/>
              </w:rPr>
              <w:t>线路沿线</w:t>
            </w:r>
            <w:r>
              <w:rPr>
                <w:rFonts w:ascii="Times New Roman" w:hAnsi="Times New Roman"/>
                <w:snapToGrid w:val="0"/>
                <w:color w:val="auto"/>
                <w:szCs w:val="20"/>
              </w:rPr>
              <w:t>现有道路，减轻对</w:t>
            </w:r>
            <w:r>
              <w:rPr>
                <w:rFonts w:hint="eastAsia" w:ascii="Times New Roman" w:hAnsi="Times New Roman"/>
                <w:snapToGrid w:val="0"/>
                <w:color w:val="auto"/>
                <w:szCs w:val="20"/>
              </w:rPr>
              <w:t>地表</w:t>
            </w:r>
            <w:r>
              <w:rPr>
                <w:rFonts w:ascii="Times New Roman" w:hAnsi="Times New Roman"/>
                <w:snapToGrid w:val="0"/>
                <w:color w:val="auto"/>
                <w:szCs w:val="20"/>
              </w:rPr>
              <w:t>植被的影响。</w:t>
            </w:r>
            <w:r>
              <w:rPr>
                <w:rFonts w:hint="eastAsia" w:ascii="Times New Roman" w:hAnsi="Times New Roman"/>
                <w:snapToGrid w:val="0"/>
                <w:color w:val="auto"/>
                <w:szCs w:val="20"/>
              </w:rPr>
              <w:t>本工程线路施工时，应加强对施工队伍的管理，严禁捕猎野生动物，严禁破坏它们的栖息地，严格限定施工人员的活动范围，减少施工对野生动物带来的不利影响。</w:t>
            </w:r>
            <w:r>
              <w:rPr>
                <w:rFonts w:ascii="Times New Roman" w:hAnsi="Times New Roman"/>
                <w:snapToGrid w:val="0"/>
                <w:color w:val="auto"/>
                <w:szCs w:val="20"/>
              </w:rPr>
              <w:t>本工程线路施工完毕后立即进行填埋平整并对临时占地地面进行原地貌恢复和植被恢复，在进行植物恢复措施的时候，应选用乡土物种以利于生态重建和恢复</w:t>
            </w:r>
            <w:r>
              <w:rPr>
                <w:rFonts w:hint="eastAsia" w:ascii="Times New Roman" w:hAnsi="Times New Roman"/>
                <w:snapToGrid w:val="0"/>
                <w:color w:val="auto"/>
                <w:szCs w:val="20"/>
              </w:rPr>
              <w:t>，</w:t>
            </w:r>
            <w:r>
              <w:rPr>
                <w:rFonts w:ascii="Times New Roman" w:hAnsi="Times New Roman"/>
                <w:snapToGrid w:val="0"/>
                <w:color w:val="auto"/>
                <w:szCs w:val="20"/>
              </w:rPr>
              <w:t>尽量减小对</w:t>
            </w:r>
            <w:r>
              <w:rPr>
                <w:rFonts w:hint="eastAsia" w:ascii="Times New Roman" w:hAnsi="Times New Roman"/>
                <w:snapToGrid w:val="0"/>
                <w:color w:val="auto"/>
                <w:szCs w:val="20"/>
              </w:rPr>
              <w:t>生态</w:t>
            </w:r>
            <w:r>
              <w:rPr>
                <w:rFonts w:ascii="Times New Roman" w:hAnsi="Times New Roman"/>
                <w:snapToGrid w:val="0"/>
                <w:color w:val="auto"/>
                <w:szCs w:val="20"/>
              </w:rPr>
              <w:t>的影响</w:t>
            </w:r>
            <w:r>
              <w:rPr>
                <w:rFonts w:hint="eastAsia" w:ascii="Times New Roman" w:hAnsi="Times New Roman"/>
                <w:snapToGrid w:val="0"/>
                <w:color w:val="auto"/>
                <w:szCs w:val="20"/>
              </w:rPr>
              <w:t>，景观上与周围环</w:t>
            </w:r>
            <w:r>
              <w:rPr>
                <w:rFonts w:hint="eastAsia" w:ascii="Times New Roman" w:hAnsi="Times New Roman" w:cs="Times New Roman"/>
                <w:snapToGrid w:val="0"/>
                <w:color w:val="auto"/>
                <w:szCs w:val="20"/>
              </w:rPr>
              <w:t>境协调一致。</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在采取上述临时防护措施、水土保持措施和植被恢复措施后，可有效控制水土流失，保护生态环境，使本工程的建设对生态环境的影响在环境可接受的范围内。</w:t>
            </w:r>
          </w:p>
          <w:p>
            <w:pPr>
              <w:spacing w:line="360" w:lineRule="auto"/>
              <w:rPr>
                <w:rFonts w:ascii="Times New Roman" w:hAnsi="Times New Roman"/>
                <w:b/>
                <w:bCs/>
                <w:color w:val="auto"/>
                <w:szCs w:val="20"/>
              </w:rPr>
            </w:pPr>
            <w:r>
              <w:rPr>
                <w:rFonts w:hint="eastAsia" w:ascii="Times New Roman" w:hAnsi="Times New Roman"/>
                <w:b/>
                <w:bCs/>
                <w:color w:val="auto"/>
                <w:szCs w:val="20"/>
              </w:rPr>
              <w:t>7.1.</w:t>
            </w:r>
            <w:r>
              <w:rPr>
                <w:rFonts w:ascii="Times New Roman" w:hAnsi="Times New Roman"/>
                <w:b/>
                <w:bCs/>
                <w:color w:val="auto"/>
                <w:szCs w:val="20"/>
              </w:rPr>
              <w:t>6施工水土流失影响分析</w:t>
            </w:r>
          </w:p>
          <w:p>
            <w:pPr>
              <w:spacing w:line="360" w:lineRule="auto"/>
              <w:ind w:firstLine="420" w:firstLineChars="200"/>
              <w:rPr>
                <w:rFonts w:ascii="Times New Roman" w:hAnsi="Times New Roman"/>
                <w:snapToGrid w:val="0"/>
                <w:color w:val="auto"/>
                <w:szCs w:val="20"/>
              </w:rPr>
            </w:pPr>
            <w:r>
              <w:rPr>
                <w:rFonts w:ascii="Times New Roman" w:hAnsi="Times New Roman"/>
                <w:snapToGrid w:val="0"/>
                <w:color w:val="auto"/>
                <w:szCs w:val="20"/>
              </w:rPr>
              <w:t>（1）水土流失影响分析</w:t>
            </w:r>
          </w:p>
          <w:p>
            <w:pPr>
              <w:spacing w:line="360" w:lineRule="auto"/>
              <w:ind w:firstLine="420" w:firstLineChars="200"/>
              <w:rPr>
                <w:rFonts w:hint="eastAsia" w:ascii="Times New Roman" w:hAnsi="Times New Roman"/>
                <w:snapToGrid w:val="0"/>
                <w:color w:val="auto"/>
                <w:szCs w:val="20"/>
              </w:rPr>
            </w:pPr>
            <w:r>
              <w:rPr>
                <w:rFonts w:hint="eastAsia" w:ascii="Times New Roman" w:hAnsi="Times New Roman"/>
                <w:snapToGrid w:val="0"/>
                <w:color w:val="auto"/>
                <w:szCs w:val="20"/>
              </w:rPr>
              <w:t>工程建设期间造成水土流失的成因有自然因素和人为因素，自然因素包括气候、地形地貌、土壤、植被等因子，人为因素主要为开挖、填筑、弃渣、开荒造地、耕作方式等。人为因素是造成工程建设区域内水土流失增加的主要影响因子，水土流失发生的区域主要存在于工程建设区和直接影响区，如铁塔基础开挖、接地装置开挖、新修临时便道、弃渣堆放、树木砍伐等。</w:t>
            </w:r>
          </w:p>
          <w:p>
            <w:pPr>
              <w:spacing w:line="360" w:lineRule="auto"/>
              <w:ind w:left="420" w:leftChars="200"/>
              <w:rPr>
                <w:rFonts w:ascii="Times New Roman" w:hAnsi="Times New Roman"/>
                <w:snapToGrid w:val="0"/>
                <w:color w:val="auto"/>
                <w:szCs w:val="20"/>
              </w:rPr>
            </w:pPr>
            <w:r>
              <w:rPr>
                <w:rFonts w:ascii="Times New Roman" w:hAnsi="Times New Roman"/>
                <w:snapToGrid w:val="0"/>
                <w:color w:val="auto"/>
                <w:szCs w:val="20"/>
              </w:rPr>
              <w:t>（2）拟采取的水土保持措施及效果</w:t>
            </w:r>
          </w:p>
          <w:p>
            <w:pPr>
              <w:spacing w:line="360" w:lineRule="auto"/>
              <w:ind w:firstLine="420" w:firstLineChars="200"/>
              <w:rPr>
                <w:rFonts w:hint="eastAsia" w:ascii="Times New Roman" w:hAnsi="Times New Roman"/>
                <w:snapToGrid w:val="0"/>
                <w:color w:val="auto"/>
                <w:szCs w:val="20"/>
              </w:rPr>
            </w:pPr>
            <w:r>
              <w:rPr>
                <w:rFonts w:hint="eastAsia" w:ascii="Times New Roman" w:hAnsi="Times New Roman"/>
                <w:snapToGrid w:val="0"/>
                <w:color w:val="auto"/>
                <w:szCs w:val="20"/>
              </w:rPr>
              <w:t>本工程</w:t>
            </w:r>
            <w:r>
              <w:rPr>
                <w:rFonts w:hint="eastAsia" w:ascii="Times New Roman" w:hAnsi="Times New Roman"/>
                <w:snapToGrid w:val="0"/>
                <w:color w:val="auto"/>
                <w:szCs w:val="20"/>
                <w:lang w:eastAsia="zh-CN"/>
              </w:rPr>
              <w:t>线</w:t>
            </w:r>
            <w:r>
              <w:rPr>
                <w:rFonts w:hint="eastAsia" w:ascii="Times New Roman" w:hAnsi="Times New Roman"/>
                <w:snapToGrid w:val="0"/>
                <w:color w:val="auto"/>
                <w:szCs w:val="20"/>
              </w:rPr>
              <w:t>路长约</w:t>
            </w:r>
            <w:r>
              <w:rPr>
                <w:rFonts w:hint="eastAsia" w:ascii="Times New Roman" w:hAnsi="Times New Roman"/>
                <w:snapToGrid w:val="0"/>
                <w:color w:val="auto"/>
                <w:szCs w:val="20"/>
                <w:lang w:val="en-US" w:eastAsia="zh-CN"/>
              </w:rPr>
              <w:t>2×55</w:t>
            </w:r>
            <w:r>
              <w:rPr>
                <w:rFonts w:hint="eastAsia" w:ascii="Times New Roman" w:hAnsi="Times New Roman"/>
                <w:snapToGrid w:val="0"/>
                <w:color w:val="auto"/>
                <w:szCs w:val="20"/>
              </w:rPr>
              <w:t>km，沿线</w:t>
            </w:r>
            <w:r>
              <w:rPr>
                <w:rFonts w:ascii="Times New Roman" w:hAnsi="Times New Roman"/>
                <w:color w:val="auto"/>
                <w:szCs w:val="20"/>
              </w:rPr>
              <w:t>以平地为主，在南渡江两岸和东路镇</w:t>
            </w:r>
            <w:r>
              <w:rPr>
                <w:rFonts w:hint="eastAsia" w:ascii="Times New Roman" w:hAnsi="Times New Roman"/>
                <w:color w:val="auto"/>
                <w:szCs w:val="20"/>
                <w:lang w:val="en-US" w:eastAsia="zh-CN"/>
              </w:rPr>
              <w:t>220kV</w:t>
            </w:r>
            <w:r>
              <w:rPr>
                <w:rFonts w:ascii="Times New Roman" w:hAnsi="Times New Roman"/>
                <w:color w:val="auto"/>
                <w:szCs w:val="20"/>
              </w:rPr>
              <w:t>东路变电站北侧线路沿线有部分泥沼。沿线植被主要有</w:t>
            </w:r>
            <w:r>
              <w:rPr>
                <w:rFonts w:hint="default" w:ascii="Times New Roman" w:hAnsi="Times New Roman" w:cs="Times New Roman"/>
                <w:color w:val="auto"/>
                <w:sz w:val="21"/>
                <w:szCs w:val="21"/>
              </w:rPr>
              <w:t>多以种植水稻、蔬菜为主，局部开挖成鱼塘</w:t>
            </w:r>
            <w:r>
              <w:rPr>
                <w:rFonts w:ascii="Times New Roman" w:hAnsi="Times New Roman"/>
                <w:color w:val="auto"/>
                <w:szCs w:val="20"/>
              </w:rPr>
              <w:t>，</w:t>
            </w:r>
            <w:r>
              <w:rPr>
                <w:rFonts w:hint="default" w:ascii="Times New Roman" w:hAnsi="Times New Roman" w:cs="Times New Roman"/>
                <w:color w:val="auto"/>
                <w:sz w:val="21"/>
                <w:szCs w:val="21"/>
              </w:rPr>
              <w:t>多种植有橡胶、椰子、芒果、荔枝、菠萝密、咖啡、黄皮、莲雾、槟榔等经济作物</w:t>
            </w:r>
            <w:r>
              <w:rPr>
                <w:rFonts w:ascii="Times New Roman" w:hAnsi="Times New Roman"/>
                <w:color w:val="auto"/>
              </w:rPr>
              <w:t>。</w:t>
            </w:r>
            <w:r>
              <w:rPr>
                <w:rFonts w:hint="eastAsia" w:ascii="Times New Roman" w:hAnsi="Times New Roman"/>
                <w:color w:val="auto"/>
              </w:rPr>
              <w:t>施工时</w:t>
            </w:r>
            <w:r>
              <w:rPr>
                <w:rFonts w:hint="eastAsia" w:ascii="Times New Roman" w:hAnsi="Times New Roman"/>
                <w:snapToGrid w:val="0"/>
                <w:color w:val="auto"/>
                <w:szCs w:val="20"/>
              </w:rPr>
              <w:t>在铁塔基面周边修建排水沟，拦截基面上方来水及引排周边集水，防止基面以外径流直接流入开挖区，导致堆积较松散的渣土随水流失。工程完工后，基坑填土要夯实，并在开挖造成的裸露地表上种草，防止基坑遭侵蚀而影响土体稳定，进而影响基础稳定。</w:t>
            </w:r>
          </w:p>
          <w:p>
            <w:pPr>
              <w:spacing w:line="360" w:lineRule="auto"/>
              <w:ind w:firstLine="420" w:firstLineChars="200"/>
              <w:rPr>
                <w:rFonts w:hint="eastAsia" w:ascii="Times New Roman" w:hAnsi="Times New Roman"/>
                <w:snapToGrid w:val="0"/>
                <w:color w:val="auto"/>
                <w:szCs w:val="20"/>
              </w:rPr>
            </w:pPr>
            <w:r>
              <w:rPr>
                <w:rFonts w:hint="eastAsia" w:ascii="Times New Roman" w:hAnsi="Times New Roman"/>
                <w:snapToGrid w:val="0"/>
                <w:color w:val="auto"/>
                <w:szCs w:val="20"/>
              </w:rPr>
              <w:t>a）工程措施</w:t>
            </w:r>
          </w:p>
          <w:p>
            <w:pPr>
              <w:spacing w:line="360" w:lineRule="auto"/>
              <w:ind w:firstLine="420" w:firstLineChars="200"/>
              <w:rPr>
                <w:rFonts w:hint="eastAsia" w:ascii="Times New Roman" w:hAnsi="Times New Roman"/>
                <w:snapToGrid w:val="0"/>
                <w:color w:val="auto"/>
                <w:szCs w:val="20"/>
              </w:rPr>
            </w:pPr>
            <w:r>
              <w:rPr>
                <w:rFonts w:hint="eastAsia" w:ascii="Times New Roman" w:hAnsi="Times New Roman"/>
                <w:snapToGrid w:val="0"/>
                <w:color w:val="auto"/>
                <w:szCs w:val="20"/>
              </w:rPr>
              <w:t>根据塔位所处不同地形，采取不同的防治措施。地势平缓区开挖基面四周设置排水沟，汇集的地表水引向已有的沟渠排水，其基面周围需设挡土板拦渣。基面开挖若在水田和泥沼地，基面四周设临时挡土板，防止水土流失对周围农田的影响施；施工完毕后，拆除挡土板，恢复水田和泥沼地原有地貌。</w:t>
            </w:r>
          </w:p>
          <w:p>
            <w:pPr>
              <w:spacing w:line="360" w:lineRule="auto"/>
              <w:ind w:firstLine="420" w:firstLineChars="200"/>
              <w:rPr>
                <w:rFonts w:hint="eastAsia" w:ascii="Times New Roman" w:hAnsi="Times New Roman"/>
                <w:snapToGrid w:val="0"/>
                <w:color w:val="auto"/>
                <w:szCs w:val="20"/>
              </w:rPr>
            </w:pPr>
            <w:r>
              <w:rPr>
                <w:rFonts w:hint="eastAsia" w:ascii="Times New Roman" w:hAnsi="Times New Roman"/>
                <w:snapToGrid w:val="0"/>
                <w:color w:val="auto"/>
                <w:szCs w:val="20"/>
              </w:rPr>
              <w:t>b）植物措施</w:t>
            </w:r>
          </w:p>
          <w:p>
            <w:pPr>
              <w:spacing w:line="360" w:lineRule="auto"/>
              <w:ind w:firstLine="420" w:firstLineChars="200"/>
              <w:rPr>
                <w:rFonts w:ascii="Times New Roman" w:hAnsi="Times New Roman"/>
                <w:snapToGrid w:val="0"/>
                <w:color w:val="auto"/>
                <w:szCs w:val="20"/>
              </w:rPr>
            </w:pPr>
            <w:r>
              <w:rPr>
                <w:rFonts w:hint="eastAsia" w:ascii="Times New Roman" w:hAnsi="Times New Roman"/>
                <w:snapToGrid w:val="0"/>
                <w:color w:val="auto"/>
                <w:szCs w:val="20"/>
              </w:rPr>
              <w:t>架线完毕后，施工基面各项施工设备全部拆除，对施工临时场地进行全面清理。丘陵、水田和泥沼地基面永久占地及山地临时占地，采用表土回填恢复为水保草地的措施；对临时占用水田、旱土的基面可采取复垦措施</w:t>
            </w:r>
            <w:r>
              <w:rPr>
                <w:rFonts w:ascii="Times New Roman" w:hAnsi="Times New Roman"/>
                <w:snapToGrid w:val="0"/>
                <w:color w:val="auto"/>
                <w:szCs w:val="20"/>
              </w:rPr>
              <w:t>。</w:t>
            </w:r>
          </w:p>
          <w:p>
            <w:pPr>
              <w:spacing w:line="360" w:lineRule="auto"/>
              <w:rPr>
                <w:rFonts w:ascii="Times New Roman" w:hAnsi="Times New Roman"/>
                <w:b/>
                <w:bCs/>
                <w:color w:val="auto"/>
                <w:szCs w:val="20"/>
              </w:rPr>
            </w:pPr>
            <w:r>
              <w:rPr>
                <w:rFonts w:hint="eastAsia" w:ascii="Times New Roman" w:hAnsi="Times New Roman"/>
                <w:b/>
                <w:bCs/>
                <w:color w:val="auto"/>
                <w:szCs w:val="20"/>
              </w:rPr>
              <w:t>7.1.</w:t>
            </w:r>
            <w:r>
              <w:rPr>
                <w:rFonts w:hint="eastAsia" w:ascii="Times New Roman" w:hAnsi="Times New Roman"/>
                <w:b/>
                <w:bCs/>
                <w:color w:val="auto"/>
                <w:szCs w:val="20"/>
                <w:lang w:val="en-US" w:eastAsia="zh-CN"/>
              </w:rPr>
              <w:t>7施工期生态红线区、</w:t>
            </w:r>
            <w:r>
              <w:rPr>
                <w:rFonts w:hint="eastAsia" w:ascii="Times New Roman" w:hAnsi="Times New Roman"/>
                <w:b/>
                <w:bCs/>
                <w:color w:val="auto"/>
                <w:szCs w:val="20"/>
                <w:lang w:eastAsia="zh-CN"/>
              </w:rPr>
              <w:t>湿地公园、湿地多用途管理区及饮用水水源保护区措施</w:t>
            </w:r>
            <w:r>
              <w:rPr>
                <w:rFonts w:ascii="Times New Roman" w:hAnsi="Times New Roman"/>
                <w:b/>
                <w:bCs/>
                <w:color w:val="auto"/>
                <w:szCs w:val="20"/>
              </w:rPr>
              <w:t>分析</w:t>
            </w:r>
          </w:p>
          <w:p>
            <w:pPr>
              <w:numPr>
                <w:ilvl w:val="0"/>
                <w:numId w:val="2"/>
              </w:numPr>
              <w:adjustRightInd w:val="0"/>
              <w:snapToGrid w:val="0"/>
              <w:spacing w:line="360" w:lineRule="auto"/>
              <w:ind w:firstLine="420" w:firstLineChars="200"/>
              <w:rPr>
                <w:rFonts w:hint="eastAsia" w:ascii="Times New Roman" w:hAnsi="Times New Roman" w:cs="Times New Roman"/>
                <w:color w:val="auto"/>
                <w:szCs w:val="20"/>
              </w:rPr>
            </w:pPr>
            <w:r>
              <w:rPr>
                <w:rFonts w:hint="eastAsia" w:ascii="Times New Roman" w:hAnsi="Times New Roman" w:cs="Times New Roman"/>
                <w:color w:val="auto"/>
                <w:szCs w:val="20"/>
                <w:lang w:eastAsia="zh-CN"/>
              </w:rPr>
              <w:t>海南省生态保护红线区保护</w:t>
            </w:r>
            <w:r>
              <w:rPr>
                <w:rFonts w:hint="eastAsia" w:ascii="Times New Roman" w:hAnsi="Times New Roman" w:cs="Times New Roman"/>
                <w:color w:val="auto"/>
                <w:szCs w:val="20"/>
              </w:rPr>
              <w:t>措施</w:t>
            </w:r>
          </w:p>
          <w:p>
            <w:pPr>
              <w:adjustRightInd w:val="0"/>
              <w:snapToGrid w:val="0"/>
              <w:spacing w:line="360" w:lineRule="auto"/>
              <w:ind w:firstLine="420" w:firstLineChars="200"/>
              <w:rPr>
                <w:rFonts w:hint="eastAsia" w:ascii="Times New Roman" w:cs="Times New Roman"/>
                <w:color w:val="auto"/>
                <w:sz w:val="21"/>
                <w:szCs w:val="21"/>
                <w:lang w:eastAsia="zh-CN"/>
              </w:rPr>
            </w:pPr>
            <w:r>
              <w:rPr>
                <w:rFonts w:hint="eastAsia" w:ascii="Times New Roman" w:hAnsi="Times New Roman" w:cs="Times New Roman"/>
                <w:color w:val="auto"/>
                <w:szCs w:val="20"/>
                <w:lang w:eastAsia="zh-CN"/>
              </w:rPr>
              <w:t>本工程穿越</w:t>
            </w:r>
            <w:r>
              <w:rPr>
                <w:rFonts w:hint="eastAsia" w:ascii="Times New Roman" w:hAnsi="Times New Roman" w:cs="Times New Roman"/>
                <w:color w:val="auto"/>
                <w:szCs w:val="20"/>
                <w:lang w:val="en-US" w:eastAsia="zh-CN"/>
              </w:rPr>
              <w:t>4处海南省生态保护红线区，均为陆域Ⅱ类生态保护红线区，</w:t>
            </w:r>
            <w:r>
              <w:rPr>
                <w:rFonts w:hint="eastAsia" w:ascii="Times New Roman" w:cs="Times New Roman"/>
                <w:color w:val="auto"/>
                <w:sz w:val="21"/>
                <w:szCs w:val="21"/>
                <w:lang w:eastAsia="zh-CN"/>
              </w:rPr>
              <w:t>包括生物多样性保护、水源保护与水源涵养两个类别的功能区。</w:t>
            </w:r>
          </w:p>
          <w:p>
            <w:pPr>
              <w:adjustRightInd w:val="0"/>
              <w:snapToGrid w:val="0"/>
              <w:spacing w:line="360" w:lineRule="auto"/>
              <w:ind w:firstLine="420" w:firstLineChars="200"/>
              <w:rPr>
                <w:rFonts w:hint="eastAsia" w:ascii="Times New Roman" w:hAnsi="Times New Roman" w:cs="Times New Roman"/>
                <w:color w:val="auto"/>
                <w:szCs w:val="20"/>
              </w:rPr>
            </w:pPr>
            <w:r>
              <w:rPr>
                <w:rFonts w:hint="eastAsia" w:ascii="Times New Roman" w:cs="Times New Roman"/>
                <w:color w:val="auto"/>
                <w:sz w:val="21"/>
                <w:szCs w:val="21"/>
                <w:lang w:eastAsia="zh-CN"/>
              </w:rPr>
              <w:t>对于生物多样性保护类生态保护红线区，施工时需</w:t>
            </w:r>
            <w:r>
              <w:rPr>
                <w:rFonts w:hint="eastAsia" w:ascii="Times New Roman" w:hAnsi="Times New Roman" w:cs="Times New Roman"/>
                <w:color w:val="auto"/>
                <w:szCs w:val="20"/>
              </w:rPr>
              <w:t>合理安排施工作业时间，在</w:t>
            </w:r>
            <w:r>
              <w:rPr>
                <w:rFonts w:hint="eastAsia" w:ascii="Times New Roman" w:hAnsi="Times New Roman" w:cs="Times New Roman"/>
                <w:color w:val="auto"/>
                <w:szCs w:val="20"/>
                <w:lang w:eastAsia="zh-CN"/>
              </w:rPr>
              <w:t>生态保护红线</w:t>
            </w:r>
            <w:r>
              <w:rPr>
                <w:rFonts w:hint="eastAsia" w:ascii="Times New Roman" w:hAnsi="Times New Roman" w:cs="Times New Roman"/>
                <w:color w:val="auto"/>
                <w:szCs w:val="20"/>
              </w:rPr>
              <w:t>内夜间禁止施工和强光照射。采用影响小的施工方法和设备，减少高噪和高强振动设备的使用，并尽量避免多种高噪声机械设备同时作业；加强施工人员对野生动物和生态环境的保护意识教育，禁止猎杀兽类、鸟类，禁止捕蛇捉蛙。</w:t>
            </w:r>
          </w:p>
          <w:p>
            <w:pPr>
              <w:adjustRightInd w:val="0"/>
              <w:snapToGrid w:val="0"/>
              <w:spacing w:line="360" w:lineRule="auto"/>
              <w:ind w:firstLine="420" w:firstLineChars="200"/>
              <w:rPr>
                <w:rFonts w:hint="eastAsia" w:ascii="Times New Roman" w:hAnsi="Times New Roman" w:cs="Times New Roman"/>
                <w:color w:val="auto"/>
                <w:szCs w:val="20"/>
                <w:lang w:eastAsia="zh-CN"/>
              </w:rPr>
            </w:pPr>
            <w:r>
              <w:rPr>
                <w:rFonts w:hint="eastAsia" w:ascii="Times New Roman" w:hAnsi="Times New Roman" w:cs="Times New Roman"/>
                <w:color w:val="auto"/>
                <w:szCs w:val="20"/>
                <w:lang w:eastAsia="zh-CN"/>
              </w:rPr>
              <w:t>对于水源保护区与水源涵养类生态保护红线区，施工时须根据沿线周边地形条件定位塔基应尽量远离水体，塔基基坑开挖应尽量采用人工掏挖基础，</w:t>
            </w:r>
            <w:r>
              <w:rPr>
                <w:rFonts w:hint="eastAsia" w:ascii="Times New Roman" w:hAnsi="Times New Roman" w:cs="Times New Roman"/>
                <w:color w:val="auto"/>
                <w:szCs w:val="20"/>
              </w:rPr>
              <w:t>开挖好后应尽快浇筑混凝土，基础浇筑完成后及时回填</w:t>
            </w:r>
            <w:r>
              <w:rPr>
                <w:rFonts w:hint="eastAsia" w:ascii="Times New Roman" w:hAnsi="Times New Roman" w:cs="Times New Roman"/>
                <w:color w:val="auto"/>
                <w:szCs w:val="20"/>
                <w:lang w:eastAsia="zh-CN"/>
              </w:rPr>
              <w:t>，且避开降雨季节，以减少工程开挖面积对地表植被的破坏，防止水土流失。</w:t>
            </w:r>
          </w:p>
          <w:p>
            <w:pPr>
              <w:adjustRightInd w:val="0"/>
              <w:snapToGrid w:val="0"/>
              <w:spacing w:line="360" w:lineRule="auto"/>
              <w:ind w:firstLine="420" w:firstLineChars="200"/>
              <w:rPr>
                <w:rFonts w:hint="eastAsia" w:ascii="Times New Roman" w:hAnsi="Times New Roman" w:cs="Times New Roman"/>
                <w:color w:val="auto"/>
                <w:szCs w:val="20"/>
              </w:rPr>
            </w:pPr>
            <w:r>
              <w:rPr>
                <w:rFonts w:hint="eastAsia" w:ascii="Times New Roman" w:hAnsi="Times New Roman" w:cs="Times New Roman"/>
                <w:color w:val="auto"/>
                <w:szCs w:val="20"/>
                <w:lang w:eastAsia="zh-CN"/>
              </w:rPr>
              <w:t>此外，生态保护红线区内</w:t>
            </w:r>
            <w:r>
              <w:rPr>
                <w:rFonts w:hint="eastAsia" w:ascii="Times New Roman" w:hAnsi="Times New Roman" w:cs="Times New Roman"/>
                <w:color w:val="auto"/>
                <w:szCs w:val="20"/>
              </w:rPr>
              <w:t>除了设置必要的塔基施工场地外，禁止设置弃土弃渣场和施工生活区</w:t>
            </w:r>
            <w:r>
              <w:rPr>
                <w:rFonts w:hint="eastAsia" w:ascii="Times New Roman" w:hAnsi="Times New Roman" w:cs="Times New Roman"/>
                <w:color w:val="auto"/>
                <w:szCs w:val="20"/>
                <w:lang w:eastAsia="zh-CN"/>
              </w:rPr>
              <w:t>等临时占地</w:t>
            </w:r>
            <w:r>
              <w:rPr>
                <w:rFonts w:hint="eastAsia" w:ascii="Times New Roman" w:hAnsi="Times New Roman" w:cs="Times New Roman"/>
                <w:color w:val="auto"/>
                <w:szCs w:val="20"/>
              </w:rPr>
              <w:t>；不得设置混凝土拌合设备，均购买</w:t>
            </w:r>
            <w:r>
              <w:rPr>
                <w:rFonts w:hint="eastAsia" w:ascii="Times New Roman" w:hAnsi="Times New Roman" w:cs="Times New Roman"/>
                <w:color w:val="auto"/>
                <w:szCs w:val="20"/>
                <w:lang w:eastAsia="zh-CN"/>
              </w:rPr>
              <w:t>商品</w:t>
            </w:r>
            <w:r>
              <w:rPr>
                <w:rFonts w:hint="eastAsia" w:ascii="Times New Roman" w:hAnsi="Times New Roman" w:cs="Times New Roman"/>
                <w:color w:val="auto"/>
                <w:szCs w:val="20"/>
              </w:rPr>
              <w:t>混凝土。施工期</w:t>
            </w:r>
            <w:r>
              <w:rPr>
                <w:rFonts w:hint="eastAsia" w:ascii="Times New Roman" w:hAnsi="Times New Roman" w:cs="Times New Roman"/>
                <w:color w:val="auto"/>
                <w:szCs w:val="20"/>
                <w:lang w:eastAsia="zh-CN"/>
              </w:rPr>
              <w:t>生态保护红线区</w:t>
            </w:r>
            <w:r>
              <w:rPr>
                <w:rFonts w:hint="eastAsia" w:ascii="Times New Roman" w:hAnsi="Times New Roman" w:cs="Times New Roman"/>
                <w:color w:val="auto"/>
                <w:szCs w:val="20"/>
              </w:rPr>
              <w:t>内不得堆放生活垃圾；施工机械维修在</w:t>
            </w:r>
            <w:r>
              <w:rPr>
                <w:rFonts w:hint="eastAsia" w:ascii="Times New Roman" w:hAnsi="Times New Roman" w:cs="Times New Roman"/>
                <w:color w:val="auto"/>
                <w:szCs w:val="20"/>
                <w:lang w:eastAsia="zh-CN"/>
              </w:rPr>
              <w:t>生态保护红线区</w:t>
            </w:r>
            <w:r>
              <w:rPr>
                <w:rFonts w:hint="eastAsia" w:ascii="Times New Roman" w:hAnsi="Times New Roman" w:cs="Times New Roman"/>
                <w:color w:val="auto"/>
                <w:szCs w:val="20"/>
              </w:rPr>
              <w:t>外进行</w:t>
            </w:r>
            <w:r>
              <w:rPr>
                <w:rFonts w:hint="eastAsia" w:ascii="Times New Roman" w:hAnsi="Times New Roman" w:cs="Times New Roman"/>
                <w:color w:val="auto"/>
                <w:szCs w:val="20"/>
                <w:lang w:eastAsia="zh-CN"/>
              </w:rPr>
              <w:t>，严禁在生态保护红线区内清洗施工车辆和机械。</w:t>
            </w:r>
            <w:r>
              <w:rPr>
                <w:rFonts w:hint="eastAsia" w:ascii="Times New Roman" w:hAnsi="Times New Roman" w:cs="Times New Roman"/>
                <w:color w:val="auto"/>
                <w:szCs w:val="20"/>
              </w:rPr>
              <w:t>对因施工期间破坏的各种植被和生境类型，应该尽量通过实施生态恢复措施使其逐步得到恢复，使野生动物失去的栖息地</w:t>
            </w:r>
            <w:r>
              <w:rPr>
                <w:rFonts w:hint="eastAsia" w:ascii="Times New Roman" w:hAnsi="Times New Roman" w:cs="Times New Roman"/>
                <w:color w:val="auto"/>
                <w:szCs w:val="20"/>
                <w:lang w:eastAsia="zh-CN"/>
              </w:rPr>
              <w:t>和破环的植被</w:t>
            </w:r>
            <w:r>
              <w:rPr>
                <w:rFonts w:hint="eastAsia" w:ascii="Times New Roman" w:hAnsi="Times New Roman" w:cs="Times New Roman"/>
                <w:color w:val="auto"/>
                <w:szCs w:val="20"/>
              </w:rPr>
              <w:t>得以部分恢复。</w:t>
            </w:r>
          </w:p>
          <w:p>
            <w:pPr>
              <w:adjustRightInd w:val="0"/>
              <w:snapToGrid w:val="0"/>
              <w:spacing w:line="360" w:lineRule="auto"/>
              <w:ind w:firstLine="420" w:firstLineChars="200"/>
              <w:rPr>
                <w:rFonts w:hint="eastAsia" w:ascii="Times New Roman" w:hAnsi="Times New Roman" w:cs="Times New Roman"/>
                <w:color w:val="auto"/>
                <w:szCs w:val="20"/>
                <w:lang w:eastAsia="zh-CN"/>
              </w:rPr>
            </w:pPr>
            <w:r>
              <w:rPr>
                <w:rFonts w:hint="eastAsia" w:ascii="Times New Roman" w:hAnsi="Times New Roman" w:cs="Times New Roman"/>
                <w:color w:val="auto"/>
                <w:szCs w:val="20"/>
              </w:rPr>
              <w:t>2</w:t>
            </w:r>
            <w:r>
              <w:rPr>
                <w:rFonts w:hint="eastAsia" w:ascii="Times New Roman" w:hAnsi="Times New Roman" w:cs="Times New Roman"/>
                <w:color w:val="auto"/>
                <w:szCs w:val="20"/>
                <w:lang w:eastAsia="zh-CN"/>
              </w:rPr>
              <w:t>、羊山湿地多用途管理区、湿地公园保护措施</w:t>
            </w:r>
          </w:p>
          <w:p>
            <w:pPr>
              <w:adjustRightInd w:val="0"/>
              <w:snapToGrid w:val="0"/>
              <w:spacing w:line="360" w:lineRule="auto"/>
              <w:ind w:firstLine="420" w:firstLineChars="200"/>
              <w:rPr>
                <w:rFonts w:hint="default" w:ascii="Times New Roman" w:hAnsi="Times New Roman" w:cs="Times New Roman"/>
                <w:color w:val="auto"/>
                <w:szCs w:val="20"/>
                <w:lang w:val="en-US" w:eastAsia="zh-CN"/>
              </w:rPr>
            </w:pPr>
            <w:r>
              <w:rPr>
                <w:rFonts w:hint="eastAsia" w:ascii="Times New Roman" w:hAnsi="Times New Roman" w:cs="Times New Roman"/>
                <w:color w:val="auto"/>
                <w:szCs w:val="20"/>
                <w:lang w:eastAsia="zh-CN"/>
              </w:rPr>
              <w:t>本项目穿越羊山湿地多用途管理区和新旧沟湿地乡村公园，其中新旧沟湿地乡村公园尚未划分生态功能区，羊山湿地多用途管理区则划分为水源涵养与蓄洪生态功能区、火山台地湿地农业发展生态功能区、湿地人居环境优化发展生态功能区</w:t>
            </w:r>
            <w:r>
              <w:rPr>
                <w:rFonts w:hint="eastAsia" w:ascii="Times New Roman" w:hAnsi="Times New Roman" w:cs="Times New Roman"/>
                <w:color w:val="auto"/>
                <w:szCs w:val="20"/>
                <w:lang w:val="en-US" w:eastAsia="zh-CN"/>
              </w:rPr>
              <w:t>3个</w:t>
            </w:r>
            <w:r>
              <w:rPr>
                <w:rFonts w:hint="eastAsia" w:ascii="Times New Roman" w:hAnsi="Times New Roman" w:cs="Times New Roman"/>
                <w:color w:val="auto"/>
                <w:szCs w:val="20"/>
                <w:lang w:eastAsia="zh-CN"/>
              </w:rPr>
              <w:t>功能分区。本工程线路穿越羊山湿地多用途管理区的水源涵养与蓄洪生态功能区。此外，羊山湿地多用途管理区规划范围包括新旧沟湿地乡村公园、新旧沟湿地保护小区规划范围及部分南渡江龙塘饮用水水源保护区规划范围。</w:t>
            </w:r>
            <w:r>
              <w:rPr>
                <w:rFonts w:hint="eastAsia" w:ascii="Times New Roman" w:cs="Times New Roman"/>
                <w:color w:val="auto"/>
                <w:szCs w:val="20"/>
                <w:lang w:eastAsia="zh-CN"/>
              </w:rPr>
              <w:t>本工程线路均一档跨越</w:t>
            </w:r>
            <w:r>
              <w:rPr>
                <w:rFonts w:hint="eastAsia" w:ascii="Times New Roman" w:hAnsi="Times New Roman" w:cs="Times New Roman"/>
                <w:color w:val="auto"/>
                <w:szCs w:val="20"/>
                <w:lang w:eastAsia="zh-CN"/>
              </w:rPr>
              <w:t>新旧沟湿地保护小区和海口三十六曲溪省级湿地公园</w:t>
            </w:r>
            <w:r>
              <w:rPr>
                <w:rFonts w:hint="eastAsia" w:ascii="Times New Roman" w:cs="Times New Roman"/>
                <w:color w:val="auto"/>
                <w:szCs w:val="20"/>
                <w:lang w:eastAsia="zh-CN"/>
              </w:rPr>
              <w:t>，不在其中立塔。本工程线路生态环境评价范围内还有海口响水河省级湿地公园，距其最近距离约</w:t>
            </w:r>
            <w:r>
              <w:rPr>
                <w:rFonts w:hint="eastAsia" w:ascii="Times New Roman" w:cs="Times New Roman"/>
                <w:color w:val="auto"/>
                <w:szCs w:val="20"/>
                <w:lang w:val="en-US" w:eastAsia="zh-CN"/>
              </w:rPr>
              <w:t>750m。</w:t>
            </w:r>
          </w:p>
          <w:p>
            <w:pPr>
              <w:adjustRightInd w:val="0"/>
              <w:snapToGrid w:val="0"/>
              <w:spacing w:line="360" w:lineRule="auto"/>
              <w:ind w:firstLine="420" w:firstLineChars="200"/>
              <w:rPr>
                <w:rFonts w:hint="eastAsia" w:ascii="Times New Roman" w:hAnsi="Times New Roman" w:cs="Times New Roman"/>
                <w:color w:val="auto"/>
                <w:szCs w:val="20"/>
                <w:lang w:eastAsia="zh-CN"/>
              </w:rPr>
            </w:pPr>
            <w:r>
              <w:rPr>
                <w:rFonts w:hint="eastAsia" w:ascii="Times New Roman" w:hAnsi="Times New Roman" w:cs="Times New Roman"/>
                <w:color w:val="auto"/>
                <w:szCs w:val="20"/>
              </w:rPr>
              <w:t>施工单位进入施工区域之前必须对施工人员进行培训教育，学习</w:t>
            </w:r>
            <w:r>
              <w:rPr>
                <w:rFonts w:hint="eastAsia" w:ascii="Times New Roman" w:hAnsi="Times New Roman" w:cs="Times New Roman"/>
                <w:color w:val="auto"/>
                <w:szCs w:val="20"/>
                <w:lang w:eastAsia="zh-CN"/>
              </w:rPr>
              <w:t>湿地</w:t>
            </w:r>
            <w:r>
              <w:rPr>
                <w:rFonts w:hint="eastAsia" w:ascii="Times New Roman" w:hAnsi="Times New Roman" w:cs="Times New Roman"/>
                <w:color w:val="auto"/>
                <w:szCs w:val="20"/>
              </w:rPr>
              <w:t>有关的法律法规及条例。施工时应在工期安排上合理有序，严格控制施工作业的范围，</w:t>
            </w:r>
            <w:r>
              <w:rPr>
                <w:rFonts w:hint="eastAsia" w:ascii="Times New Roman" w:hAnsi="Times New Roman" w:cs="Times New Roman"/>
                <w:color w:val="auto"/>
                <w:szCs w:val="20"/>
                <w:lang w:eastAsia="zh-CN"/>
              </w:rPr>
              <w:t>充分利用规划范围内周边现有交通条件，</w:t>
            </w:r>
            <w:r>
              <w:rPr>
                <w:rFonts w:hint="eastAsia" w:ascii="Times New Roman" w:hAnsi="Times New Roman" w:cs="Times New Roman"/>
                <w:color w:val="auto"/>
                <w:szCs w:val="20"/>
              </w:rPr>
              <w:t>固定机械与车辆行驶路线；施工材料有序堆放。</w:t>
            </w:r>
            <w:r>
              <w:rPr>
                <w:rFonts w:hint="eastAsia" w:ascii="Times New Roman" w:cs="Times New Roman"/>
                <w:color w:val="auto"/>
                <w:sz w:val="21"/>
                <w:szCs w:val="21"/>
                <w:lang w:eastAsia="zh-CN"/>
              </w:rPr>
              <w:t>施工时需</w:t>
            </w:r>
            <w:r>
              <w:rPr>
                <w:rFonts w:hint="eastAsia" w:ascii="Times New Roman" w:hAnsi="Times New Roman" w:cs="Times New Roman"/>
                <w:color w:val="auto"/>
                <w:szCs w:val="20"/>
              </w:rPr>
              <w:t>合理安排施工作业时间，夜间禁止施工和强光照射。采用</w:t>
            </w:r>
            <w:r>
              <w:rPr>
                <w:rFonts w:hint="eastAsia" w:ascii="Times New Roman" w:hAnsi="Times New Roman" w:cs="Times New Roman"/>
                <w:color w:val="auto"/>
                <w:szCs w:val="20"/>
                <w:lang w:eastAsia="zh-CN"/>
              </w:rPr>
              <w:t>低</w:t>
            </w:r>
            <w:r>
              <w:rPr>
                <w:rFonts w:hint="eastAsia" w:ascii="Times New Roman" w:hAnsi="Times New Roman" w:cs="Times New Roman"/>
                <w:color w:val="auto"/>
                <w:szCs w:val="20"/>
              </w:rPr>
              <w:t>噪</w:t>
            </w:r>
            <w:r>
              <w:rPr>
                <w:rFonts w:hint="eastAsia" w:ascii="Times New Roman" w:hAnsi="Times New Roman" w:cs="Times New Roman"/>
                <w:color w:val="auto"/>
                <w:szCs w:val="20"/>
                <w:lang w:eastAsia="zh-CN"/>
              </w:rPr>
              <w:t>声</w:t>
            </w:r>
            <w:r>
              <w:rPr>
                <w:rFonts w:hint="eastAsia" w:ascii="Times New Roman" w:hAnsi="Times New Roman" w:cs="Times New Roman"/>
                <w:color w:val="auto"/>
                <w:szCs w:val="20"/>
              </w:rPr>
              <w:t>设备的使用，并尽量避免多种机械设备同时作业；加强施工人员对野生动物和生态环境的保护意识教育，禁止猎杀兽类、鸟类，禁止捕蛇捉蛙。</w:t>
            </w:r>
            <w:r>
              <w:rPr>
                <w:rFonts w:hint="eastAsia" w:ascii="Times New Roman" w:hAnsi="Times New Roman" w:cs="Times New Roman"/>
                <w:color w:val="auto"/>
                <w:szCs w:val="20"/>
                <w:lang w:eastAsia="zh-CN"/>
              </w:rPr>
              <w:t>施工时须根据沿线周边地形条件定位塔基，尽量远离水体，采用大档距、高跨等设计措施，减少规划范围内的塔基数量。严禁施工时随意倾倒废弃物、排放废污水及乱丢乱弃各类垃圾，不能回填利用的弃渣全部及时清运至规划范围之外进行集中处理；土石方开挖工程应避开降雨季节；</w:t>
            </w:r>
            <w:r>
              <w:rPr>
                <w:rFonts w:hint="eastAsia" w:ascii="Times New Roman" w:hAnsi="Times New Roman" w:cs="Times New Roman"/>
                <w:color w:val="auto"/>
                <w:szCs w:val="20"/>
              </w:rPr>
              <w:t>塔基区剥离表土、施工场地剥离表土堆放在塔基施工区，用于施工结束后植被恢复。植被恢复时必须将剥离表土覆盖在最上层以利于植被恢复。</w:t>
            </w:r>
            <w:r>
              <w:rPr>
                <w:rFonts w:hint="eastAsia" w:ascii="Times New Roman" w:hAnsi="Times New Roman" w:cs="Times New Roman"/>
                <w:color w:val="auto"/>
                <w:szCs w:val="20"/>
                <w:lang w:eastAsia="zh-CN"/>
              </w:rPr>
              <w:t>植被恢复选用灌草结合的方式进行，植被种类选择本地物种；</w:t>
            </w:r>
            <w:r>
              <w:rPr>
                <w:rFonts w:hint="eastAsia" w:ascii="Times New Roman" w:hAnsi="Times New Roman" w:cs="Times New Roman"/>
                <w:color w:val="auto"/>
                <w:szCs w:val="20"/>
              </w:rPr>
              <w:t>基坑开挖好后应尽快浇筑混凝土，基础浇筑完成后及时回填；除了设置必要的塔基施工场地外，禁止设置弃土弃渣场和施工生活区；不得设置混凝土拌合设备，均购买</w:t>
            </w:r>
            <w:r>
              <w:rPr>
                <w:rFonts w:hint="eastAsia" w:ascii="Times New Roman" w:hAnsi="Times New Roman" w:cs="Times New Roman"/>
                <w:color w:val="auto"/>
                <w:szCs w:val="20"/>
                <w:lang w:eastAsia="zh-CN"/>
              </w:rPr>
              <w:t>商品</w:t>
            </w:r>
            <w:r>
              <w:rPr>
                <w:rFonts w:hint="eastAsia" w:ascii="Times New Roman" w:hAnsi="Times New Roman" w:cs="Times New Roman"/>
                <w:color w:val="auto"/>
                <w:szCs w:val="20"/>
              </w:rPr>
              <w:t>混凝土。</w:t>
            </w:r>
            <w:r>
              <w:rPr>
                <w:rFonts w:hint="eastAsia" w:ascii="Times New Roman" w:hAnsi="Times New Roman" w:cs="Times New Roman"/>
                <w:color w:val="auto"/>
                <w:szCs w:val="20"/>
                <w:lang w:eastAsia="zh-CN"/>
              </w:rPr>
              <w:t>运行初期加强塔基周边植被恢复情况的巡视，保证塔基周边植被恢复完好。</w:t>
            </w:r>
          </w:p>
          <w:p>
            <w:pPr>
              <w:adjustRightInd w:val="0"/>
              <w:snapToGrid w:val="0"/>
              <w:spacing w:line="360" w:lineRule="auto"/>
              <w:ind w:firstLine="420" w:firstLineChars="200"/>
              <w:rPr>
                <w:rFonts w:hint="eastAsia" w:ascii="Times New Roman" w:hAnsi="Times New Roman" w:cs="Times New Roman"/>
                <w:color w:val="auto"/>
                <w:szCs w:val="20"/>
                <w:lang w:eastAsia="zh-CN"/>
              </w:rPr>
            </w:pPr>
            <w:r>
              <w:rPr>
                <w:rFonts w:hint="eastAsia" w:ascii="Times New Roman" w:hAnsi="Times New Roman" w:cs="Times New Roman"/>
                <w:color w:val="auto"/>
                <w:szCs w:val="20"/>
                <w:lang w:val="en-US" w:eastAsia="zh-CN"/>
              </w:rPr>
              <w:t>3</w:t>
            </w:r>
            <w:r>
              <w:rPr>
                <w:rFonts w:hint="eastAsia" w:ascii="Times New Roman" w:hAnsi="Times New Roman" w:cs="Times New Roman"/>
                <w:color w:val="auto"/>
                <w:szCs w:val="20"/>
                <w:lang w:eastAsia="zh-CN"/>
              </w:rPr>
              <w:t>、南渡江饮用水水源保护区保护措施</w:t>
            </w:r>
          </w:p>
          <w:p>
            <w:pPr>
              <w:adjustRightInd w:val="0"/>
              <w:snapToGrid w:val="0"/>
              <w:spacing w:line="360" w:lineRule="auto"/>
              <w:ind w:firstLine="420" w:firstLineChars="200"/>
              <w:rPr>
                <w:rFonts w:hint="eastAsia" w:ascii="Times New Roman" w:hAnsi="Times New Roman" w:cs="Times New Roman"/>
                <w:color w:val="auto"/>
                <w:szCs w:val="20"/>
                <w:lang w:val="en-US" w:eastAsia="zh-CN"/>
              </w:rPr>
            </w:pPr>
            <w:r>
              <w:rPr>
                <w:rFonts w:hint="eastAsia" w:ascii="Times New Roman" w:hAnsi="Times New Roman" w:cs="Times New Roman"/>
                <w:color w:val="auto"/>
                <w:szCs w:val="20"/>
                <w:lang w:eastAsia="zh-CN"/>
              </w:rPr>
              <w:t>本项目穿越南渡江龙塘饮用水水源保护区的二级保护区水域及陆域和准保护区水域和陆域，线路在跨越保护区内的南渡江、三桥沟、三十六曲溪等河流时均采用一档跨越，不在水中立塔。该饮用水水源保护区有</w:t>
            </w:r>
            <w:r>
              <w:rPr>
                <w:rFonts w:hint="eastAsia" w:ascii="Times New Roman" w:hAnsi="Times New Roman" w:cs="Times New Roman"/>
                <w:color w:val="auto"/>
                <w:szCs w:val="20"/>
                <w:lang w:val="en-US" w:eastAsia="zh-CN"/>
              </w:rPr>
              <w:t>2处</w:t>
            </w:r>
            <w:r>
              <w:rPr>
                <w:rFonts w:hint="eastAsia" w:ascii="Times New Roman" w:hAnsi="Times New Roman" w:cs="Times New Roman"/>
                <w:color w:val="auto"/>
                <w:szCs w:val="20"/>
                <w:lang w:eastAsia="zh-CN"/>
              </w:rPr>
              <w:t>取水口，分列南渡江东西两岸，本工程线路距最近的南渡江东岸取水口约</w:t>
            </w:r>
            <w:r>
              <w:rPr>
                <w:rFonts w:hint="eastAsia" w:ascii="Times New Roman" w:hAnsi="Times New Roman" w:cs="Times New Roman"/>
                <w:color w:val="auto"/>
                <w:szCs w:val="20"/>
                <w:lang w:val="en-US" w:eastAsia="zh-CN"/>
              </w:rPr>
              <w:t>1.4km，线路与取水口之间间隔整个龙塘镇镇区，输电线路工程为点-线工程，实际扰动为点状分布，因此施工期对其影响不大。</w:t>
            </w:r>
          </w:p>
          <w:p>
            <w:pPr>
              <w:adjustRightInd w:val="0"/>
              <w:snapToGrid w:val="0"/>
              <w:spacing w:line="360" w:lineRule="auto"/>
              <w:ind w:firstLine="420" w:firstLineChars="200"/>
              <w:rPr>
                <w:rFonts w:hint="eastAsia" w:ascii="Times New Roman" w:hAnsi="Times New Roman" w:cs="Times New Roman"/>
                <w:color w:val="auto"/>
                <w:szCs w:val="20"/>
                <w:lang w:eastAsia="zh-CN"/>
              </w:rPr>
            </w:pPr>
            <w:r>
              <w:rPr>
                <w:rFonts w:hint="eastAsia" w:ascii="Times New Roman" w:hAnsi="Times New Roman" w:cs="Times New Roman"/>
                <w:color w:val="auto"/>
                <w:szCs w:val="20"/>
                <w:lang w:val="en-US" w:eastAsia="zh-CN"/>
              </w:rPr>
              <w:t>在饮用水水源保护区内</w:t>
            </w:r>
            <w:r>
              <w:rPr>
                <w:rFonts w:hint="eastAsia" w:ascii="Times New Roman" w:hAnsi="Times New Roman" w:cs="Times New Roman"/>
                <w:color w:val="auto"/>
                <w:szCs w:val="20"/>
                <w:lang w:eastAsia="zh-CN"/>
              </w:rPr>
              <w:t>施工时须根据沿线周边地形条件定位塔基，应尽量远离水体，采用大档距、高跨等设计措施，减少水源保护区内塔基数量；塔基基坑开挖应尽量采用人工掏挖基础，且避开降雨季节，以减少工程开挖面积对地表植被的破坏，防止水土流失。</w:t>
            </w:r>
            <w:r>
              <w:rPr>
                <w:rFonts w:hint="eastAsia" w:ascii="Times New Roman" w:hAnsi="Times New Roman" w:cs="Times New Roman"/>
                <w:color w:val="auto"/>
                <w:szCs w:val="20"/>
              </w:rPr>
              <w:t>除了设置必要的塔基施工场地外，禁止设置弃土弃渣场和施工生活区</w:t>
            </w:r>
            <w:r>
              <w:rPr>
                <w:rFonts w:hint="eastAsia" w:ascii="Times New Roman" w:hAnsi="Times New Roman" w:cs="Times New Roman"/>
                <w:color w:val="auto"/>
                <w:szCs w:val="20"/>
                <w:lang w:eastAsia="zh-CN"/>
              </w:rPr>
              <w:t>等临时占地</w:t>
            </w:r>
            <w:r>
              <w:rPr>
                <w:rFonts w:hint="eastAsia" w:ascii="Times New Roman" w:hAnsi="Times New Roman" w:cs="Times New Roman"/>
                <w:color w:val="auto"/>
                <w:szCs w:val="20"/>
              </w:rPr>
              <w:t>；不得设置混凝土拌合设备，均购买</w:t>
            </w:r>
            <w:r>
              <w:rPr>
                <w:rFonts w:hint="eastAsia" w:ascii="Times New Roman" w:hAnsi="Times New Roman" w:cs="Times New Roman"/>
                <w:color w:val="auto"/>
                <w:szCs w:val="20"/>
                <w:lang w:eastAsia="zh-CN"/>
              </w:rPr>
              <w:t>商品</w:t>
            </w:r>
            <w:r>
              <w:rPr>
                <w:rFonts w:hint="eastAsia" w:ascii="Times New Roman" w:hAnsi="Times New Roman" w:cs="Times New Roman"/>
                <w:color w:val="auto"/>
                <w:szCs w:val="20"/>
              </w:rPr>
              <w:t>混凝土。</w:t>
            </w:r>
            <w:r>
              <w:rPr>
                <w:rFonts w:hint="eastAsia" w:ascii="Times New Roman" w:hAnsi="Times New Roman" w:cs="Times New Roman"/>
                <w:color w:val="auto"/>
                <w:szCs w:val="20"/>
                <w:lang w:eastAsia="zh-CN"/>
              </w:rPr>
              <w:t>充分利用保护区内现有交通条件，</w:t>
            </w:r>
            <w:r>
              <w:rPr>
                <w:rFonts w:hint="eastAsia" w:ascii="Times New Roman" w:hAnsi="Times New Roman" w:cs="Times New Roman"/>
                <w:color w:val="auto"/>
                <w:szCs w:val="20"/>
              </w:rPr>
              <w:t>尽可能利用已有的道路，临时道路要选择在非水源地汇水侧，</w:t>
            </w:r>
            <w:r>
              <w:rPr>
                <w:rFonts w:hint="eastAsia" w:ascii="Times New Roman" w:hAnsi="Times New Roman" w:cs="Times New Roman"/>
                <w:color w:val="auto"/>
                <w:szCs w:val="20"/>
                <w:lang w:eastAsia="zh-CN"/>
              </w:rPr>
              <w:t>。控制施工人员施工时的活动范围，严禁施工人员至非施工区域活动，尤其一级保护区内；严禁在保护区内清洗施工车辆和机械；杜绝随意倾倒废弃物、排放废污水及乱丢乱弃各类垃圾，不能回填利用的弃渣全部及时清运至保护区之外进行集中处理。施工结束后应及时对塔基及周边进行绿化，植被恢复选用灌草结合的方式进行，植被种类选择本地物种；运行初期加强塔基周边植被恢复情况的巡视，保证塔基周边植被恢复完好。</w:t>
            </w:r>
          </w:p>
          <w:p>
            <w:pPr>
              <w:adjustRightInd w:val="0"/>
              <w:snapToGrid w:val="0"/>
              <w:spacing w:line="360" w:lineRule="auto"/>
              <w:ind w:firstLine="420" w:firstLineChars="200"/>
              <w:rPr>
                <w:rFonts w:hint="eastAsia" w:ascii="Times New Roman" w:hAnsi="Times New Roman" w:cs="Times New Roman"/>
                <w:color w:val="auto"/>
                <w:szCs w:val="20"/>
              </w:rPr>
            </w:pPr>
            <w:r>
              <w:rPr>
                <w:rFonts w:hint="eastAsia" w:ascii="Times New Roman" w:hAnsi="Times New Roman" w:cs="Times New Roman"/>
                <w:color w:val="auto"/>
                <w:szCs w:val="20"/>
                <w:lang w:val="en-US" w:eastAsia="zh-CN"/>
              </w:rPr>
              <w:t>4</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其它生态环境保护措施</w:t>
            </w:r>
          </w:p>
          <w:p>
            <w:pPr>
              <w:adjustRightInd w:val="0"/>
              <w:snapToGrid w:val="0"/>
              <w:spacing w:line="360" w:lineRule="auto"/>
              <w:ind w:firstLine="420" w:firstLineChars="200"/>
              <w:rPr>
                <w:rFonts w:hint="eastAsia" w:ascii="Times New Roman" w:hAnsi="Times New Roman" w:cs="Times New Roman"/>
                <w:color w:val="auto"/>
                <w:szCs w:val="20"/>
              </w:rPr>
            </w:pPr>
            <w:r>
              <w:rPr>
                <w:rFonts w:hint="eastAsia" w:ascii="Times New Roman" w:hAnsi="Times New Roman" w:cs="Times New Roman"/>
                <w:color w:val="auto"/>
                <w:szCs w:val="20"/>
              </w:rPr>
              <w:t>工程建设单位应对工程占地和施工破坏区域造成的植被损失进行补偿和植被恢复。</w:t>
            </w:r>
            <w:r>
              <w:rPr>
                <w:rFonts w:hint="eastAsia" w:ascii="Times New Roman" w:hAnsi="Times New Roman" w:cs="Times New Roman"/>
                <w:color w:val="auto"/>
                <w:szCs w:val="20"/>
                <w:lang w:eastAsia="zh-CN"/>
              </w:rPr>
              <w:t>可</w:t>
            </w:r>
            <w:r>
              <w:rPr>
                <w:rFonts w:hint="eastAsia" w:ascii="Times New Roman" w:hAnsi="Times New Roman" w:cs="Times New Roman"/>
                <w:color w:val="auto"/>
                <w:szCs w:val="20"/>
              </w:rPr>
              <w:t>依据相关法律、法规，对</w:t>
            </w:r>
            <w:r>
              <w:rPr>
                <w:rFonts w:hint="eastAsia" w:ascii="Times New Roman" w:hAnsi="Times New Roman" w:cs="Times New Roman"/>
                <w:color w:val="auto"/>
                <w:szCs w:val="20"/>
                <w:lang w:eastAsia="zh-CN"/>
              </w:rPr>
              <w:t>相关</w:t>
            </w:r>
            <w:r>
              <w:rPr>
                <w:rFonts w:hint="eastAsia" w:ascii="Times New Roman" w:hAnsi="Times New Roman" w:cs="Times New Roman"/>
                <w:color w:val="auto"/>
                <w:szCs w:val="20"/>
              </w:rPr>
              <w:t>管理部门支付一定的补偿费，费用并纳入工程概算。</w:t>
            </w:r>
          </w:p>
          <w:p>
            <w:pPr>
              <w:adjustRightInd w:val="0"/>
              <w:snapToGrid w:val="0"/>
              <w:spacing w:line="360" w:lineRule="auto"/>
              <w:rPr>
                <w:rFonts w:hint="eastAsia" w:ascii="Times New Roman" w:hAnsi="Times New Roman"/>
                <w:b/>
                <w:bCs/>
                <w:color w:val="auto"/>
                <w:szCs w:val="20"/>
                <w:lang w:eastAsia="zh-CN"/>
              </w:rPr>
            </w:pPr>
            <w:r>
              <w:rPr>
                <w:rFonts w:hint="eastAsia" w:ascii="Times New Roman" w:hAnsi="Times New Roman"/>
                <w:b/>
                <w:bCs/>
                <w:color w:val="auto"/>
                <w:szCs w:val="20"/>
              </w:rPr>
              <w:t>7.</w:t>
            </w:r>
            <w:r>
              <w:rPr>
                <w:rFonts w:hint="eastAsia" w:ascii="Times New Roman" w:hAnsi="Times New Roman"/>
                <w:b/>
                <w:bCs/>
                <w:color w:val="auto"/>
                <w:szCs w:val="20"/>
                <w:lang w:eastAsia="zh-CN"/>
              </w:rPr>
              <w:t>1.</w:t>
            </w:r>
            <w:r>
              <w:rPr>
                <w:rFonts w:hint="eastAsia" w:ascii="Times New Roman" w:hAnsi="Times New Roman"/>
                <w:b/>
                <w:bCs/>
                <w:color w:val="auto"/>
                <w:szCs w:val="20"/>
                <w:lang w:val="en-US" w:eastAsia="zh-CN"/>
              </w:rPr>
              <w:t>8</w:t>
            </w:r>
            <w:r>
              <w:rPr>
                <w:rFonts w:hint="eastAsia" w:ascii="Times New Roman" w:hAnsi="Times New Roman"/>
                <w:b/>
                <w:bCs/>
                <w:color w:val="auto"/>
                <w:szCs w:val="20"/>
                <w:lang w:eastAsia="zh-CN"/>
              </w:rPr>
              <w:t>生物多样性影响分析</w:t>
            </w:r>
          </w:p>
          <w:p>
            <w:pPr>
              <w:adjustRightInd w:val="0"/>
              <w:snapToGrid w:val="0"/>
              <w:spacing w:line="360" w:lineRule="auto"/>
              <w:ind w:firstLine="420" w:firstLineChars="200"/>
              <w:rPr>
                <w:rFonts w:hint="eastAsia" w:ascii="Times New Roman" w:hAnsi="Times New Roman" w:cs="Times New Roman"/>
                <w:color w:val="auto"/>
                <w:szCs w:val="20"/>
              </w:rPr>
            </w:pPr>
            <w:r>
              <w:rPr>
                <w:rFonts w:hint="eastAsia" w:ascii="Times New Roman" w:hAnsi="Times New Roman" w:cs="Times New Roman"/>
                <w:color w:val="auto"/>
                <w:szCs w:val="20"/>
              </w:rPr>
              <w:t>本项目对植被的影响主要是永久占地和临时占对地表植被的清除，并造成生物量损失。永久占地植被无法恢复，临时占地植被需要在施工结束后恢复，但完全恢复需要一定时间。本项目</w:t>
            </w:r>
            <w:r>
              <w:rPr>
                <w:rFonts w:hint="eastAsia" w:ascii="Times New Roman" w:hAnsi="Times New Roman" w:cs="Times New Roman"/>
                <w:color w:val="auto"/>
                <w:szCs w:val="20"/>
                <w:lang w:eastAsia="zh-CN"/>
              </w:rPr>
              <w:t>穿越羊山湿地多用途保护区的水源涵养与蓄洪生态功能区和新旧沟</w:t>
            </w:r>
            <w:r>
              <w:rPr>
                <w:rFonts w:hint="eastAsia" w:ascii="Times New Roman" w:hAnsi="Times New Roman" w:cs="Times New Roman"/>
                <w:color w:val="auto"/>
                <w:szCs w:val="20"/>
              </w:rPr>
              <w:t>湿地</w:t>
            </w:r>
            <w:r>
              <w:rPr>
                <w:rFonts w:hint="eastAsia" w:ascii="Times New Roman" w:hAnsi="Times New Roman" w:cs="Times New Roman"/>
                <w:color w:val="auto"/>
                <w:szCs w:val="20"/>
                <w:lang w:eastAsia="zh-CN"/>
              </w:rPr>
              <w:t>乡村</w:t>
            </w:r>
            <w:r>
              <w:rPr>
                <w:rFonts w:hint="eastAsia" w:ascii="Times New Roman" w:hAnsi="Times New Roman" w:cs="Times New Roman"/>
                <w:color w:val="auto"/>
                <w:szCs w:val="20"/>
              </w:rPr>
              <w:t>公园</w:t>
            </w:r>
            <w:r>
              <w:rPr>
                <w:rFonts w:hint="eastAsia" w:ascii="Times New Roman" w:hAnsi="Times New Roman" w:cs="Times New Roman"/>
                <w:color w:val="auto"/>
                <w:szCs w:val="20"/>
                <w:lang w:eastAsia="zh-CN"/>
              </w:rPr>
              <w:t>，跨越新旧沟湿地保护区小区和海口三十六曲溪省级湿地公园，</w:t>
            </w:r>
            <w:r>
              <w:rPr>
                <w:rFonts w:hint="eastAsia" w:ascii="Times New Roman" w:hAnsi="Times New Roman" w:cs="Times New Roman"/>
                <w:color w:val="auto"/>
                <w:szCs w:val="20"/>
              </w:rPr>
              <w:t>塔基永久占地将对自然植被造成破坏性的影响，具有不可逆性和不可恢复性，对该区段植物资源有一定的不利影响，但是塔基永久占地面积较小。对于临时占地造成的植被破坏，通过自然恢复和人工种植，可逐步得到恢复。本项目施工期不设置汽车运输便道，</w:t>
            </w:r>
            <w:r>
              <w:rPr>
                <w:rFonts w:hint="eastAsia" w:ascii="Times New Roman" w:hAnsi="Times New Roman" w:cs="Times New Roman"/>
                <w:color w:val="auto"/>
                <w:szCs w:val="20"/>
                <w:lang w:eastAsia="zh-CN"/>
              </w:rPr>
              <w:t>充分利用已建道路，</w:t>
            </w:r>
            <w:r>
              <w:rPr>
                <w:rFonts w:hint="eastAsia" w:ascii="Times New Roman" w:hAnsi="Times New Roman" w:cs="Times New Roman"/>
                <w:color w:val="auto"/>
                <w:szCs w:val="20"/>
              </w:rPr>
              <w:t>临时占地以自然恢复为主、辅以人工恢复则可缩短植被恢复时间。工程永久和临时占压不涉及珍稀保护植物，占压植物均为项目区广泛分布植物，项目建设虽会造成某些植物物种数量上的减少和植物群落结构的改变，但不会引起植物种类减少，不会对该区域的物种多样性产生明显的不良影响。且本项目永久占地面积占</w:t>
            </w:r>
            <w:r>
              <w:rPr>
                <w:rFonts w:hint="eastAsia" w:ascii="Times New Roman" w:hAnsi="Times New Roman" w:cs="Times New Roman"/>
                <w:color w:val="auto"/>
                <w:szCs w:val="20"/>
                <w:lang w:eastAsia="zh-CN"/>
              </w:rPr>
              <w:t>新旧沟</w:t>
            </w:r>
            <w:r>
              <w:rPr>
                <w:rFonts w:hint="eastAsia" w:ascii="Times New Roman" w:hAnsi="Times New Roman" w:cs="Times New Roman"/>
                <w:color w:val="auto"/>
                <w:szCs w:val="20"/>
              </w:rPr>
              <w:t>湿地</w:t>
            </w:r>
            <w:r>
              <w:rPr>
                <w:rFonts w:hint="eastAsia" w:ascii="Times New Roman" w:hAnsi="Times New Roman" w:cs="Times New Roman"/>
                <w:color w:val="auto"/>
                <w:szCs w:val="20"/>
                <w:lang w:eastAsia="zh-CN"/>
              </w:rPr>
              <w:t>乡村</w:t>
            </w:r>
            <w:r>
              <w:rPr>
                <w:rFonts w:hint="eastAsia" w:ascii="Times New Roman" w:hAnsi="Times New Roman" w:cs="Times New Roman"/>
                <w:color w:val="auto"/>
                <w:szCs w:val="20"/>
              </w:rPr>
              <w:t>公园</w:t>
            </w:r>
            <w:r>
              <w:rPr>
                <w:rFonts w:hint="eastAsia" w:ascii="Times New Roman" w:hAnsi="Times New Roman" w:cs="Times New Roman"/>
                <w:color w:val="auto"/>
                <w:szCs w:val="20"/>
                <w:lang w:eastAsia="zh-CN"/>
              </w:rPr>
              <w:t>（拟立塔</w:t>
            </w:r>
            <w:r>
              <w:rPr>
                <w:rFonts w:hint="eastAsia" w:ascii="Times New Roman" w:hAnsi="Times New Roman" w:cs="Times New Roman"/>
                <w:color w:val="auto"/>
                <w:szCs w:val="20"/>
                <w:lang w:val="en-US" w:eastAsia="zh-CN"/>
              </w:rPr>
              <w:t>12基，永久占地面积约960m</w:t>
            </w:r>
            <w:r>
              <w:rPr>
                <w:rFonts w:hint="eastAsia" w:ascii="Times New Roman" w:hAnsi="Times New Roman" w:cs="Times New Roman"/>
                <w:color w:val="auto"/>
                <w:szCs w:val="20"/>
                <w:vertAlign w:val="superscript"/>
                <w:lang w:val="en-US" w:eastAsia="zh-CN"/>
              </w:rPr>
              <w:t>2</w:t>
            </w:r>
            <w:r>
              <w:rPr>
                <w:rFonts w:hint="eastAsia" w:ascii="Times New Roman" w:hAnsi="Times New Roman" w:cs="Times New Roman"/>
                <w:color w:val="auto"/>
                <w:szCs w:val="20"/>
                <w:lang w:eastAsia="zh-CN"/>
              </w:rPr>
              <w:t>）及羊山湿地多用途管理区（（拟立塔</w:t>
            </w:r>
            <w:r>
              <w:rPr>
                <w:rFonts w:hint="eastAsia" w:ascii="Times New Roman" w:hAnsi="Times New Roman" w:cs="Times New Roman"/>
                <w:color w:val="auto"/>
                <w:szCs w:val="20"/>
                <w:lang w:val="en-US" w:eastAsia="zh-CN"/>
              </w:rPr>
              <w:t>44基，其中12基为</w:t>
            </w:r>
            <w:r>
              <w:rPr>
                <w:rFonts w:hint="eastAsia" w:ascii="Times New Roman" w:hAnsi="Times New Roman" w:cs="Times New Roman"/>
                <w:color w:val="auto"/>
                <w:szCs w:val="20"/>
                <w:lang w:eastAsia="zh-CN"/>
              </w:rPr>
              <w:t>新旧沟</w:t>
            </w:r>
            <w:r>
              <w:rPr>
                <w:rFonts w:hint="eastAsia" w:ascii="Times New Roman" w:hAnsi="Times New Roman" w:cs="Times New Roman"/>
                <w:color w:val="auto"/>
                <w:szCs w:val="20"/>
              </w:rPr>
              <w:t>湿地</w:t>
            </w:r>
            <w:r>
              <w:rPr>
                <w:rFonts w:hint="eastAsia" w:ascii="Times New Roman" w:hAnsi="Times New Roman" w:cs="Times New Roman"/>
                <w:color w:val="auto"/>
                <w:szCs w:val="20"/>
                <w:lang w:eastAsia="zh-CN"/>
              </w:rPr>
              <w:t>乡村</w:t>
            </w:r>
            <w:r>
              <w:rPr>
                <w:rFonts w:hint="eastAsia" w:ascii="Times New Roman" w:hAnsi="Times New Roman" w:cs="Times New Roman"/>
                <w:color w:val="auto"/>
                <w:szCs w:val="20"/>
              </w:rPr>
              <w:t>公园</w:t>
            </w:r>
            <w:r>
              <w:rPr>
                <w:rFonts w:hint="eastAsia" w:ascii="Times New Roman" w:hAnsi="Times New Roman" w:cs="Times New Roman"/>
                <w:color w:val="auto"/>
                <w:szCs w:val="20"/>
                <w:lang w:eastAsia="zh-CN"/>
              </w:rPr>
              <w:t>拟立塔位，</w:t>
            </w:r>
            <w:r>
              <w:rPr>
                <w:rFonts w:hint="eastAsia" w:ascii="Times New Roman" w:hAnsi="Times New Roman" w:cs="Times New Roman"/>
                <w:color w:val="auto"/>
                <w:szCs w:val="20"/>
                <w:lang w:val="en-US" w:eastAsia="zh-CN"/>
              </w:rPr>
              <w:t>永久占地面积约3520m</w:t>
            </w:r>
            <w:r>
              <w:rPr>
                <w:rFonts w:hint="eastAsia" w:ascii="Times New Roman" w:hAnsi="Times New Roman" w:cs="Times New Roman"/>
                <w:color w:val="auto"/>
                <w:szCs w:val="20"/>
                <w:vertAlign w:val="superscript"/>
                <w:lang w:val="en-US" w:eastAsia="zh-CN"/>
              </w:rPr>
              <w:t>2</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面积的</w:t>
            </w:r>
            <w:r>
              <w:rPr>
                <w:rFonts w:hint="eastAsia" w:ascii="Times New Roman" w:hAnsi="Times New Roman" w:cs="Times New Roman"/>
                <w:color w:val="auto"/>
                <w:szCs w:val="20"/>
                <w:lang w:eastAsia="zh-CN"/>
              </w:rPr>
              <w:t>较少</w:t>
            </w:r>
            <w:r>
              <w:rPr>
                <w:rFonts w:hint="eastAsia" w:ascii="Times New Roman" w:hAnsi="Times New Roman" w:cs="Times New Roman"/>
                <w:color w:val="auto"/>
                <w:szCs w:val="20"/>
              </w:rPr>
              <w:t>，</w:t>
            </w:r>
            <w:r>
              <w:rPr>
                <w:rFonts w:hint="eastAsia" w:ascii="Times New Roman" w:hAnsi="Times New Roman" w:cs="Times New Roman"/>
                <w:color w:val="auto"/>
                <w:szCs w:val="20"/>
                <w:lang w:eastAsia="zh-CN"/>
              </w:rPr>
              <w:t>一档跨新旧沟保护小区和海口三十六曲溪省级湿地公园。</w:t>
            </w:r>
            <w:r>
              <w:rPr>
                <w:rFonts w:hint="eastAsia" w:ascii="Times New Roman" w:hAnsi="Times New Roman" w:cs="Times New Roman"/>
                <w:color w:val="auto"/>
                <w:szCs w:val="20"/>
              </w:rPr>
              <w:t>因此本项目建设仅会对局部的植被和植物多样性产生不利影响，不会降低整个</w:t>
            </w:r>
            <w:r>
              <w:rPr>
                <w:rFonts w:hint="eastAsia" w:ascii="Times New Roman" w:hAnsi="Times New Roman" w:cs="Times New Roman"/>
                <w:color w:val="auto"/>
                <w:szCs w:val="20"/>
                <w:lang w:eastAsia="zh-CN"/>
              </w:rPr>
              <w:t>湿地保护小区、湿地公园及湿地多用途管理区</w:t>
            </w:r>
            <w:r>
              <w:rPr>
                <w:rFonts w:hint="eastAsia" w:ascii="Times New Roman" w:hAnsi="Times New Roman" w:cs="Times New Roman"/>
                <w:color w:val="auto"/>
                <w:szCs w:val="20"/>
              </w:rPr>
              <w:t>的植被与植物多样性，不会造成整个群落结构的根本改变。</w:t>
            </w:r>
          </w:p>
          <w:p>
            <w:pPr>
              <w:adjustRightInd w:val="0"/>
              <w:snapToGrid w:val="0"/>
              <w:spacing w:line="360" w:lineRule="auto"/>
              <w:ind w:firstLine="420" w:firstLineChars="200"/>
              <w:rPr>
                <w:rFonts w:hint="eastAsia" w:ascii="Times New Roman" w:hAnsi="Times New Roman" w:cs="Times New Roman"/>
                <w:color w:val="auto"/>
                <w:szCs w:val="20"/>
              </w:rPr>
            </w:pPr>
            <w:r>
              <w:rPr>
                <w:rFonts w:hint="eastAsia" w:ascii="Times New Roman" w:hAnsi="Times New Roman" w:cs="Times New Roman"/>
                <w:color w:val="auto"/>
                <w:szCs w:val="20"/>
              </w:rPr>
              <w:t>施工期的噪声和人为建设活动，可能使项目沿线动物受惊吓，同时造成部分栖息地和活动范围的丧失，对其栖息和活动产生一定干扰。但是由于本项目周边有既有输电线路、</w:t>
            </w:r>
            <w:r>
              <w:rPr>
                <w:rFonts w:hint="eastAsia" w:ascii="Times New Roman" w:hAnsi="Times New Roman" w:cs="Times New Roman"/>
                <w:color w:val="auto"/>
                <w:szCs w:val="20"/>
                <w:lang w:val="en-US" w:eastAsia="zh-CN"/>
              </w:rPr>
              <w:t>省道S202、县道X149</w:t>
            </w:r>
            <w:r>
              <w:rPr>
                <w:rFonts w:hint="eastAsia" w:ascii="Times New Roman" w:hAnsi="Times New Roman" w:cs="Times New Roman"/>
                <w:color w:val="auto"/>
                <w:szCs w:val="20"/>
              </w:rPr>
              <w:t>等分布，人为干扰较大，受到交通噪声、机械噪声、人员活动等的影响，在此区域活动的兽类基本没有，且这些动物大多生性机警，易受惊扰，施工噪声及人为干扰会使这些动物迅速离开施工现场，可以找到新的栖息地，加之施工期这种影响是暂时的、局部的、可逆的，随着施工活动的结束将逐渐减小。整体而言，本工程在建设期对动物的影响较小。</w:t>
            </w:r>
          </w:p>
          <w:p>
            <w:pPr>
              <w:adjustRightInd w:val="0"/>
              <w:snapToGrid w:val="0"/>
              <w:spacing w:line="360" w:lineRule="auto"/>
              <w:ind w:firstLine="420" w:firstLineChars="200"/>
              <w:rPr>
                <w:rFonts w:hint="eastAsia" w:ascii="Times New Roman" w:hAnsi="Times New Roman" w:cs="Times New Roman"/>
                <w:color w:val="auto"/>
                <w:szCs w:val="20"/>
              </w:rPr>
            </w:pPr>
            <w:r>
              <w:rPr>
                <w:rFonts w:hint="eastAsia" w:ascii="Times New Roman" w:hAnsi="Times New Roman" w:cs="Times New Roman"/>
                <w:color w:val="auto"/>
                <w:szCs w:val="20"/>
              </w:rPr>
              <w:t>输电线路工程的分离和阻隔作用不同于公路和铁路项目，输电线路工程建成后，其塔基为点状分布，塔基占地很小、不连续，两塔之间区域为架空线路，铁塔架空送电线路下方仍有较大空间，且该线路是在既有输电走廊中进行建设。不会对动物的生境和活动产生真正的阻隔。</w:t>
            </w:r>
          </w:p>
          <w:p>
            <w:pPr>
              <w:adjustRightInd w:val="0"/>
              <w:snapToGrid w:val="0"/>
              <w:spacing w:line="360" w:lineRule="auto"/>
              <w:rPr>
                <w:rFonts w:hint="eastAsia" w:ascii="Times New Roman" w:hAnsi="Times New Roman"/>
                <w:b/>
                <w:bCs/>
                <w:color w:val="auto"/>
                <w:szCs w:val="20"/>
                <w:lang w:eastAsia="zh-CN"/>
              </w:rPr>
            </w:pPr>
            <w:bookmarkStart w:id="33" w:name="_Toc5263525"/>
            <w:bookmarkStart w:id="34" w:name="_Toc5407"/>
            <w:r>
              <w:rPr>
                <w:rFonts w:hint="eastAsia" w:ascii="Times New Roman" w:hAnsi="Times New Roman"/>
                <w:b/>
                <w:bCs/>
                <w:color w:val="auto"/>
                <w:szCs w:val="20"/>
              </w:rPr>
              <w:t>7.</w:t>
            </w:r>
            <w:r>
              <w:rPr>
                <w:rFonts w:hint="eastAsia" w:ascii="Times New Roman" w:hAnsi="Times New Roman"/>
                <w:b/>
                <w:bCs/>
                <w:color w:val="auto"/>
                <w:szCs w:val="20"/>
                <w:lang w:eastAsia="zh-CN"/>
              </w:rPr>
              <w:t>1.</w:t>
            </w:r>
            <w:r>
              <w:rPr>
                <w:rFonts w:hint="eastAsia" w:ascii="Times New Roman" w:hAnsi="Times New Roman"/>
                <w:b/>
                <w:bCs/>
                <w:color w:val="auto"/>
                <w:szCs w:val="20"/>
                <w:lang w:val="en-US" w:eastAsia="zh-CN"/>
              </w:rPr>
              <w:t>9</w:t>
            </w:r>
            <w:r>
              <w:rPr>
                <w:rFonts w:hint="eastAsia" w:ascii="Times New Roman" w:hAnsi="Times New Roman"/>
                <w:b/>
                <w:bCs/>
                <w:color w:val="auto"/>
                <w:szCs w:val="20"/>
                <w:lang w:eastAsia="zh-CN"/>
              </w:rPr>
              <w:t>景观</w:t>
            </w:r>
            <w:bookmarkEnd w:id="33"/>
            <w:bookmarkEnd w:id="34"/>
            <w:r>
              <w:rPr>
                <w:rFonts w:hint="eastAsia" w:ascii="Times New Roman" w:hAnsi="Times New Roman"/>
                <w:b/>
                <w:bCs/>
                <w:color w:val="auto"/>
                <w:szCs w:val="20"/>
                <w:lang w:eastAsia="zh-CN"/>
              </w:rPr>
              <w:t>影响分析</w:t>
            </w:r>
          </w:p>
          <w:p>
            <w:pPr>
              <w:adjustRightInd w:val="0"/>
              <w:snapToGrid w:val="0"/>
              <w:spacing w:line="360" w:lineRule="auto"/>
              <w:ind w:firstLine="420" w:firstLineChars="200"/>
              <w:rPr>
                <w:rFonts w:hint="eastAsia" w:ascii="Times New Roman" w:hAnsi="Times New Roman" w:cs="Times New Roman"/>
                <w:color w:val="auto"/>
                <w:szCs w:val="20"/>
              </w:rPr>
            </w:pPr>
            <w:r>
              <w:rPr>
                <w:rFonts w:hint="eastAsia" w:ascii="Times New Roman" w:hAnsi="Times New Roman" w:cs="Times New Roman"/>
                <w:color w:val="auto"/>
                <w:szCs w:val="20"/>
              </w:rPr>
              <w:t>本项目输电线路建设对</w:t>
            </w:r>
            <w:r>
              <w:rPr>
                <w:rFonts w:hint="eastAsia" w:ascii="Times New Roman" w:hAnsi="Times New Roman" w:cs="Times New Roman"/>
                <w:color w:val="auto"/>
                <w:szCs w:val="20"/>
                <w:lang w:eastAsia="zh-CN"/>
              </w:rPr>
              <w:t>湿地保护小区、湿地公园及湿地多用途管理区</w:t>
            </w:r>
            <w:r>
              <w:rPr>
                <w:rFonts w:hint="eastAsia" w:ascii="Times New Roman" w:hAnsi="Times New Roman" w:cs="Times New Roman"/>
                <w:color w:val="auto"/>
                <w:szCs w:val="20"/>
              </w:rPr>
              <w:t>的自然景观的影响是不可避免的。施工期基坑开挖、架线施工、建筑材料的堆放、施工道路的开辟等形成一些劣质景观，造成与周围自然景观不协调的景象，破坏</w:t>
            </w:r>
            <w:r>
              <w:rPr>
                <w:rFonts w:hint="eastAsia" w:ascii="Times New Roman" w:hAnsi="Times New Roman" w:cs="Times New Roman"/>
                <w:color w:val="auto"/>
                <w:szCs w:val="20"/>
                <w:lang w:eastAsia="zh-CN"/>
              </w:rPr>
              <w:t>其</w:t>
            </w:r>
            <w:r>
              <w:rPr>
                <w:rFonts w:hint="eastAsia" w:ascii="Times New Roman" w:hAnsi="Times New Roman" w:cs="Times New Roman"/>
                <w:color w:val="auto"/>
                <w:szCs w:val="20"/>
              </w:rPr>
              <w:t>内的自然景观。</w:t>
            </w:r>
          </w:p>
          <w:p>
            <w:pPr>
              <w:adjustRightInd w:val="0"/>
              <w:snapToGrid w:val="0"/>
              <w:spacing w:line="360" w:lineRule="auto"/>
              <w:ind w:firstLine="420" w:firstLineChars="200"/>
              <w:rPr>
                <w:rFonts w:hint="eastAsia" w:ascii="Times New Roman" w:hAnsi="Times New Roman" w:cs="Times New Roman"/>
                <w:color w:val="auto"/>
                <w:szCs w:val="20"/>
              </w:rPr>
            </w:pPr>
            <w:r>
              <w:rPr>
                <w:rFonts w:hint="eastAsia" w:ascii="Times New Roman" w:hAnsi="Times New Roman" w:cs="Times New Roman"/>
                <w:color w:val="auto"/>
                <w:szCs w:val="20"/>
                <w:lang w:eastAsia="zh-CN"/>
              </w:rPr>
              <w:t>湿地公园和湿地多用途管理区</w:t>
            </w:r>
            <w:r>
              <w:rPr>
                <w:rFonts w:hint="eastAsia" w:ascii="Times New Roman" w:hAnsi="Times New Roman" w:cs="Times New Roman"/>
                <w:color w:val="auto"/>
                <w:szCs w:val="20"/>
              </w:rPr>
              <w:t>范围内有</w:t>
            </w:r>
            <w:r>
              <w:rPr>
                <w:rFonts w:hint="eastAsia" w:ascii="Times New Roman" w:hAnsi="Times New Roman" w:cs="Times New Roman"/>
                <w:color w:val="auto"/>
                <w:szCs w:val="20"/>
                <w:lang w:eastAsia="zh-CN"/>
              </w:rPr>
              <w:t>省道</w:t>
            </w:r>
            <w:r>
              <w:rPr>
                <w:rFonts w:hint="eastAsia" w:ascii="Times New Roman" w:hAnsi="Times New Roman" w:cs="Times New Roman"/>
                <w:color w:val="auto"/>
                <w:szCs w:val="20"/>
                <w:lang w:val="en-US" w:eastAsia="zh-CN"/>
              </w:rPr>
              <w:t>S202、县道X149、10kV红塔线、35kV新龙、220kV龙泉~江东/龙泉~东路线</w:t>
            </w:r>
            <w:r>
              <w:rPr>
                <w:rFonts w:hint="eastAsia" w:ascii="Times New Roman" w:hAnsi="Times New Roman" w:cs="Times New Roman"/>
                <w:color w:val="auto"/>
                <w:szCs w:val="20"/>
              </w:rPr>
              <w:t>等。上述已经建成项目已经对原有的</w:t>
            </w:r>
            <w:r>
              <w:rPr>
                <w:rFonts w:hint="eastAsia" w:ascii="Times New Roman" w:hAnsi="Times New Roman" w:cs="Times New Roman"/>
                <w:color w:val="auto"/>
                <w:szCs w:val="20"/>
                <w:lang w:eastAsia="zh-CN"/>
              </w:rPr>
              <w:t>湿地公园</w:t>
            </w:r>
            <w:r>
              <w:rPr>
                <w:rFonts w:hint="eastAsia" w:ascii="Times New Roman" w:hAnsi="Times New Roman" w:cs="Times New Roman"/>
                <w:color w:val="auto"/>
                <w:szCs w:val="20"/>
              </w:rPr>
              <w:t>景观产生了一定的影响</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切割了</w:t>
            </w:r>
            <w:r>
              <w:rPr>
                <w:rFonts w:hint="eastAsia" w:ascii="Times New Roman" w:hAnsi="Times New Roman" w:cs="Times New Roman"/>
                <w:color w:val="auto"/>
                <w:szCs w:val="20"/>
                <w:lang w:eastAsia="zh-CN"/>
              </w:rPr>
              <w:t>湿地</w:t>
            </w:r>
            <w:r>
              <w:rPr>
                <w:rFonts w:hint="eastAsia" w:ascii="Times New Roman" w:hAnsi="Times New Roman" w:cs="Times New Roman"/>
                <w:color w:val="auto"/>
                <w:szCs w:val="20"/>
              </w:rPr>
              <w:t>生态景观</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本项目</w:t>
            </w:r>
            <w:r>
              <w:rPr>
                <w:rFonts w:hint="eastAsia" w:ascii="Times New Roman" w:hAnsi="Times New Roman" w:cs="Times New Roman"/>
                <w:color w:val="auto"/>
                <w:szCs w:val="20"/>
                <w:lang w:eastAsia="zh-CN"/>
              </w:rPr>
              <w:t>基本沿已建道路和人类活动较多的村庄</w:t>
            </w:r>
            <w:r>
              <w:rPr>
                <w:rFonts w:hint="eastAsia" w:ascii="Times New Roman" w:hAnsi="Times New Roman" w:cs="Times New Roman"/>
                <w:color w:val="auto"/>
                <w:szCs w:val="20"/>
              </w:rPr>
              <w:t>建设，对</w:t>
            </w:r>
            <w:r>
              <w:rPr>
                <w:rFonts w:hint="eastAsia" w:ascii="Times New Roman" w:hAnsi="Times New Roman" w:cs="Times New Roman"/>
                <w:color w:val="auto"/>
                <w:szCs w:val="20"/>
                <w:lang w:eastAsia="zh-CN"/>
              </w:rPr>
              <w:t>湿地公园</w:t>
            </w:r>
            <w:r>
              <w:rPr>
                <w:rFonts w:hint="eastAsia" w:ascii="Times New Roman" w:hAnsi="Times New Roman" w:cs="Times New Roman"/>
                <w:color w:val="auto"/>
                <w:szCs w:val="20"/>
              </w:rPr>
              <w:t>自然景观造成了一定的不利影响较小。项目区沿线本工程建成后，对</w:t>
            </w:r>
            <w:r>
              <w:rPr>
                <w:rFonts w:hint="eastAsia" w:ascii="Times New Roman" w:hAnsi="Times New Roman" w:cs="Times New Roman"/>
                <w:color w:val="auto"/>
                <w:szCs w:val="20"/>
                <w:lang w:eastAsia="zh-CN"/>
              </w:rPr>
              <w:t>湿地公园</w:t>
            </w:r>
            <w:r>
              <w:rPr>
                <w:rFonts w:hint="eastAsia" w:ascii="Times New Roman" w:hAnsi="Times New Roman" w:cs="Times New Roman"/>
                <w:color w:val="auto"/>
                <w:szCs w:val="20"/>
              </w:rPr>
              <w:t>的影响较小。</w:t>
            </w:r>
          </w:p>
          <w:p>
            <w:pPr>
              <w:spacing w:line="360" w:lineRule="auto"/>
              <w:rPr>
                <w:rFonts w:ascii="Times New Roman" w:hAnsi="Times New Roman"/>
                <w:color w:val="auto"/>
                <w:szCs w:val="20"/>
              </w:rPr>
            </w:pPr>
            <w:r>
              <w:rPr>
                <w:rFonts w:ascii="Times New Roman" w:hAnsi="Times New Roman"/>
                <w:b/>
                <w:bCs/>
                <w:color w:val="auto"/>
                <w:szCs w:val="20"/>
              </w:rPr>
              <w:t>7</w:t>
            </w:r>
            <w:r>
              <w:rPr>
                <w:rFonts w:hint="eastAsia" w:ascii="Times New Roman" w:hAnsi="Times New Roman"/>
                <w:b/>
                <w:bCs/>
                <w:color w:val="auto"/>
                <w:szCs w:val="20"/>
              </w:rPr>
              <w:t>.1.</w:t>
            </w:r>
            <w:r>
              <w:rPr>
                <w:rFonts w:hint="eastAsia" w:ascii="Times New Roman" w:hAnsi="Times New Roman"/>
                <w:b/>
                <w:bCs/>
                <w:color w:val="auto"/>
                <w:szCs w:val="20"/>
                <w:lang w:val="en-US" w:eastAsia="zh-CN"/>
              </w:rPr>
              <w:t>10</w:t>
            </w:r>
            <w:r>
              <w:rPr>
                <w:rFonts w:ascii="Times New Roman" w:hAnsi="Times New Roman"/>
                <w:b/>
                <w:bCs/>
                <w:color w:val="auto"/>
                <w:szCs w:val="20"/>
              </w:rPr>
              <w:t>施工期环境影响分析小结</w:t>
            </w:r>
          </w:p>
          <w:p>
            <w:pPr>
              <w:adjustRightInd w:val="0"/>
              <w:snapToGrid w:val="0"/>
              <w:spacing w:line="360" w:lineRule="auto"/>
              <w:ind w:firstLine="420" w:firstLineChars="200"/>
              <w:rPr>
                <w:rFonts w:hint="eastAsia" w:ascii="Times New Roman" w:hAnsi="Times New Roman"/>
                <w:snapToGrid w:val="0"/>
                <w:color w:val="auto"/>
                <w:kern w:val="0"/>
              </w:rPr>
            </w:pPr>
            <w:r>
              <w:rPr>
                <w:rFonts w:ascii="Times New Roman" w:hAnsi="Times New Roman"/>
                <w:color w:val="auto"/>
                <w:szCs w:val="20"/>
              </w:rPr>
              <w:t>综上所述，本工程在施工期的环境影响是短暂的、可逆的，随着施工期的结束而消失。施工单位应严格按照有关规定采取上述措施进行污染防治，并加强监管，使本项目施工对周围环境的影响降低到最小。</w:t>
            </w:r>
          </w:p>
          <w:p>
            <w:pPr>
              <w:spacing w:line="360" w:lineRule="auto"/>
              <w:outlineLvl w:val="1"/>
              <w:rPr>
                <w:rFonts w:ascii="Times New Roman" w:hAnsi="Times New Roman"/>
                <w:b/>
                <w:color w:val="auto"/>
                <w:sz w:val="24"/>
                <w:szCs w:val="24"/>
              </w:rPr>
            </w:pPr>
            <w:r>
              <w:rPr>
                <w:rFonts w:hint="eastAsia" w:ascii="Times New Roman" w:hAnsi="Times New Roman"/>
                <w:b/>
                <w:color w:val="auto"/>
                <w:sz w:val="24"/>
                <w:szCs w:val="24"/>
              </w:rPr>
              <w:t xml:space="preserve">7.2 </w:t>
            </w:r>
            <w:r>
              <w:rPr>
                <w:rFonts w:ascii="Times New Roman" w:hAnsi="Times New Roman"/>
                <w:b/>
                <w:color w:val="auto"/>
                <w:sz w:val="24"/>
                <w:szCs w:val="24"/>
              </w:rPr>
              <w:t>运行期环境影响分析</w:t>
            </w:r>
          </w:p>
          <w:p>
            <w:pPr>
              <w:spacing w:line="360" w:lineRule="auto"/>
              <w:ind w:firstLine="408"/>
              <w:rPr>
                <w:rFonts w:ascii="Times New Roman" w:hAnsi="Times New Roman"/>
                <w:color w:val="auto"/>
                <w:spacing w:val="-3"/>
                <w:kern w:val="0"/>
              </w:rPr>
            </w:pPr>
            <w:r>
              <w:rPr>
                <w:rFonts w:ascii="Times New Roman"/>
                <w:color w:val="auto"/>
                <w:spacing w:val="-3"/>
                <w:kern w:val="0"/>
              </w:rPr>
              <w:t>输电线路下的可听噪声主要是由导线表面在空气中的局部放电（电晕）产生的，可听噪声主要发生在阴雨天气下，因水滴的碰撞或聚集在导线上产生大量的电晕放电，而在晴好天气下只有很少的电晕放电产生。</w:t>
            </w:r>
          </w:p>
          <w:p>
            <w:pPr>
              <w:spacing w:line="360" w:lineRule="auto"/>
              <w:ind w:firstLine="420"/>
              <w:rPr>
                <w:rFonts w:ascii="Times New Roman" w:hAnsi="Times New Roman"/>
                <w:color w:val="auto"/>
              </w:rPr>
            </w:pPr>
            <w:r>
              <w:rPr>
                <w:rFonts w:ascii="Times New Roman" w:hAnsi="Times New Roman"/>
                <w:color w:val="auto"/>
              </w:rPr>
              <w:t>本工程</w:t>
            </w:r>
            <w:r>
              <w:rPr>
                <w:rFonts w:hint="eastAsia" w:ascii="Times New Roman" w:hAnsi="Times New Roman"/>
                <w:color w:val="auto"/>
              </w:rPr>
              <w:t>22</w:t>
            </w:r>
            <w:r>
              <w:rPr>
                <w:rFonts w:ascii="Times New Roman" w:hAnsi="Times New Roman"/>
                <w:color w:val="auto"/>
              </w:rPr>
              <w:t>0kV输电线路采用双回路架设。因此为预测本工程线路的声环境影响，选用</w:t>
            </w:r>
            <w:r>
              <w:rPr>
                <w:rFonts w:hint="eastAsia" w:ascii="Times New Roman" w:hAnsi="Times New Roman"/>
                <w:color w:val="auto"/>
              </w:rPr>
              <w:t>位于儋州市</w:t>
            </w:r>
            <w:r>
              <w:rPr>
                <w:rFonts w:ascii="Times New Roman" w:hAnsi="Times New Roman"/>
                <w:color w:val="auto"/>
              </w:rPr>
              <w:t>同电压等级、同架设方式的</w:t>
            </w:r>
            <w:r>
              <w:rPr>
                <w:rFonts w:hint="eastAsia" w:ascii="Times New Roman" w:hAnsi="Times New Roman"/>
                <w:color w:val="auto"/>
              </w:rPr>
              <w:t>22</w:t>
            </w:r>
            <w:r>
              <w:rPr>
                <w:rFonts w:ascii="Times New Roman" w:hAnsi="Times New Roman"/>
                <w:color w:val="auto"/>
              </w:rPr>
              <w:t>0kV</w:t>
            </w:r>
            <w:r>
              <w:rPr>
                <w:rFonts w:hint="eastAsia" w:ascii="Times New Roman" w:hAnsi="Times New Roman"/>
                <w:color w:val="auto"/>
              </w:rPr>
              <w:t>成塔Ⅰ、Ⅱ回线路</w:t>
            </w:r>
            <w:r>
              <w:rPr>
                <w:rFonts w:ascii="Times New Roman" w:hAnsi="Times New Roman"/>
                <w:color w:val="auto"/>
              </w:rPr>
              <w:t>作为本次评价选择的类比对象，</w:t>
            </w:r>
          </w:p>
          <w:p>
            <w:pPr>
              <w:spacing w:line="360" w:lineRule="auto"/>
              <w:ind w:firstLine="420"/>
              <w:rPr>
                <w:rFonts w:ascii="Times New Roman" w:hAnsi="Times New Roman"/>
                <w:color w:val="auto"/>
              </w:rPr>
            </w:pPr>
            <w:r>
              <w:rPr>
                <w:rFonts w:ascii="Times New Roman" w:hAnsi="Times New Roman"/>
                <w:color w:val="auto"/>
              </w:rPr>
              <w:t>类比参数一览表如表7.</w:t>
            </w:r>
            <w:r>
              <w:rPr>
                <w:rFonts w:hint="eastAsia" w:ascii="Times New Roman" w:hAnsi="Times New Roman"/>
                <w:color w:val="auto"/>
              </w:rPr>
              <w:t>3</w:t>
            </w:r>
            <w:r>
              <w:rPr>
                <w:rFonts w:ascii="Times New Roman" w:hAnsi="Times New Roman"/>
                <w:color w:val="auto"/>
              </w:rPr>
              <w:t>所示。</w:t>
            </w:r>
          </w:p>
          <w:p>
            <w:pPr>
              <w:jc w:val="center"/>
              <w:rPr>
                <w:rFonts w:ascii="Times New Roman" w:hAnsi="Times New Roman"/>
                <w:b/>
                <w:color w:val="auto"/>
              </w:rPr>
            </w:pPr>
            <w:r>
              <w:rPr>
                <w:rFonts w:ascii="Times New Roman" w:hAnsi="Times New Roman"/>
                <w:b/>
                <w:color w:val="auto"/>
              </w:rPr>
              <w:t>表7.</w:t>
            </w:r>
            <w:r>
              <w:rPr>
                <w:rFonts w:hint="eastAsia" w:ascii="Times New Roman" w:hAnsi="Times New Roman"/>
                <w:b/>
                <w:color w:val="auto"/>
              </w:rPr>
              <w:t>3</w:t>
            </w:r>
            <w:r>
              <w:rPr>
                <w:rFonts w:ascii="Times New Roman" w:hAnsi="Times New Roman"/>
                <w:b/>
                <w:color w:val="auto"/>
              </w:rPr>
              <w:t>本工程类比监测线路类比参数一览表</w:t>
            </w:r>
          </w:p>
          <w:tbl>
            <w:tblPr>
              <w:tblStyle w:val="50"/>
              <w:tblW w:w="83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305"/>
              <w:gridCol w:w="3360"/>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622" w:type="dxa"/>
                  <w:vAlign w:val="center"/>
                </w:tcPr>
                <w:p>
                  <w:pPr>
                    <w:jc w:val="center"/>
                    <w:rPr>
                      <w:rFonts w:ascii="Times New Roman" w:hAnsi="Times New Roman"/>
                      <w:b/>
                      <w:color w:val="auto"/>
                      <w:kern w:val="0"/>
                      <w:sz w:val="18"/>
                      <w:szCs w:val="18"/>
                    </w:rPr>
                  </w:pPr>
                  <w:r>
                    <w:rPr>
                      <w:rFonts w:ascii="Times New Roman" w:hAnsi="Times New Roman"/>
                      <w:b/>
                      <w:color w:val="auto"/>
                      <w:kern w:val="0"/>
                      <w:sz w:val="18"/>
                      <w:szCs w:val="18"/>
                    </w:rPr>
                    <w:t>序号</w:t>
                  </w:r>
                </w:p>
              </w:tc>
              <w:tc>
                <w:tcPr>
                  <w:tcW w:w="1305" w:type="dxa"/>
                  <w:vAlign w:val="center"/>
                </w:tcPr>
                <w:p>
                  <w:pPr>
                    <w:jc w:val="center"/>
                    <w:rPr>
                      <w:rFonts w:ascii="Times New Roman" w:hAnsi="Times New Roman"/>
                      <w:b/>
                      <w:color w:val="auto"/>
                      <w:kern w:val="0"/>
                      <w:sz w:val="18"/>
                      <w:szCs w:val="18"/>
                    </w:rPr>
                  </w:pPr>
                  <w:r>
                    <w:rPr>
                      <w:rFonts w:ascii="Times New Roman" w:hAnsi="Times New Roman"/>
                      <w:b/>
                      <w:color w:val="auto"/>
                      <w:kern w:val="0"/>
                      <w:sz w:val="18"/>
                      <w:szCs w:val="18"/>
                    </w:rPr>
                    <w:t>分类</w:t>
                  </w:r>
                </w:p>
              </w:tc>
              <w:tc>
                <w:tcPr>
                  <w:tcW w:w="6465" w:type="dxa"/>
                  <w:gridSpan w:val="2"/>
                  <w:vAlign w:val="center"/>
                </w:tcPr>
                <w:p>
                  <w:pPr>
                    <w:jc w:val="center"/>
                    <w:rPr>
                      <w:rFonts w:ascii="Times New Roman" w:hAnsi="Times New Roman"/>
                      <w:b/>
                      <w:color w:val="auto"/>
                      <w:kern w:val="0"/>
                      <w:sz w:val="18"/>
                      <w:szCs w:val="18"/>
                    </w:rPr>
                  </w:pPr>
                  <w:r>
                    <w:rPr>
                      <w:rFonts w:ascii="Times New Roman" w:hAnsi="Times New Roman"/>
                      <w:b/>
                      <w:color w:val="auto"/>
                      <w:kern w:val="0"/>
                      <w:sz w:val="18"/>
                      <w:szCs w:val="18"/>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2" w:type="dxa"/>
                  <w:vAlign w:val="center"/>
                </w:tcPr>
                <w:p>
                  <w:pPr>
                    <w:jc w:val="center"/>
                    <w:rPr>
                      <w:rFonts w:ascii="Times New Roman" w:hAnsi="Times New Roman"/>
                      <w:color w:val="auto"/>
                      <w:kern w:val="0"/>
                      <w:sz w:val="18"/>
                      <w:szCs w:val="18"/>
                    </w:rPr>
                  </w:pPr>
                  <w:r>
                    <w:rPr>
                      <w:rFonts w:ascii="Times New Roman" w:hAnsi="Times New Roman"/>
                      <w:color w:val="auto"/>
                      <w:kern w:val="0"/>
                      <w:sz w:val="18"/>
                      <w:szCs w:val="18"/>
                    </w:rPr>
                    <w:t>1</w:t>
                  </w:r>
                </w:p>
              </w:tc>
              <w:tc>
                <w:tcPr>
                  <w:tcW w:w="1305" w:type="dxa"/>
                  <w:vAlign w:val="center"/>
                </w:tcPr>
                <w:p>
                  <w:pPr>
                    <w:jc w:val="center"/>
                    <w:rPr>
                      <w:rFonts w:ascii="Times New Roman" w:hAnsi="Times New Roman"/>
                      <w:color w:val="auto"/>
                      <w:kern w:val="0"/>
                      <w:sz w:val="18"/>
                      <w:szCs w:val="18"/>
                    </w:rPr>
                  </w:pPr>
                  <w:r>
                    <w:rPr>
                      <w:rFonts w:ascii="Times New Roman"/>
                      <w:color w:val="auto"/>
                      <w:kern w:val="0"/>
                      <w:sz w:val="18"/>
                      <w:szCs w:val="18"/>
                    </w:rPr>
                    <w:t>线路名称</w:t>
                  </w:r>
                </w:p>
              </w:tc>
              <w:tc>
                <w:tcPr>
                  <w:tcW w:w="3360" w:type="dxa"/>
                  <w:vAlign w:val="center"/>
                </w:tcPr>
                <w:p>
                  <w:pPr>
                    <w:snapToGrid w:val="0"/>
                    <w:jc w:val="center"/>
                    <w:rPr>
                      <w:rFonts w:ascii="Times New Roman" w:hAnsi="Times New Roman"/>
                      <w:color w:val="auto"/>
                      <w:kern w:val="0"/>
                      <w:sz w:val="18"/>
                      <w:szCs w:val="18"/>
                    </w:rPr>
                  </w:pPr>
                  <w:r>
                    <w:rPr>
                      <w:rFonts w:hint="eastAsia" w:ascii="Times New Roman" w:hAnsi="Times New Roman"/>
                      <w:color w:val="auto"/>
                      <w:sz w:val="18"/>
                      <w:szCs w:val="18"/>
                    </w:rPr>
                    <w:t>22</w:t>
                  </w:r>
                  <w:r>
                    <w:rPr>
                      <w:rFonts w:ascii="Times New Roman" w:hAnsi="Times New Roman"/>
                      <w:color w:val="auto"/>
                      <w:sz w:val="18"/>
                      <w:szCs w:val="18"/>
                    </w:rPr>
                    <w:t>0kV</w:t>
                  </w:r>
                  <w:r>
                    <w:rPr>
                      <w:rFonts w:hint="eastAsia" w:ascii="Times New Roman" w:hAnsi="Times New Roman"/>
                      <w:color w:val="auto"/>
                      <w:sz w:val="18"/>
                      <w:szCs w:val="18"/>
                    </w:rPr>
                    <w:t>成塔Ⅰ、Ⅱ回线路</w:t>
                  </w:r>
                </w:p>
              </w:tc>
              <w:tc>
                <w:tcPr>
                  <w:tcW w:w="3105" w:type="dxa"/>
                  <w:vAlign w:val="center"/>
                </w:tcPr>
                <w:p>
                  <w:pPr>
                    <w:snapToGrid w:val="0"/>
                    <w:jc w:val="center"/>
                    <w:rPr>
                      <w:rFonts w:hint="eastAsia" w:ascii="Times New Roman" w:hAnsi="Times New Roman" w:eastAsia="宋体"/>
                      <w:color w:val="auto"/>
                      <w:sz w:val="18"/>
                      <w:szCs w:val="18"/>
                      <w:lang w:eastAsia="zh-CN"/>
                    </w:rPr>
                  </w:pPr>
                  <w:r>
                    <w:rPr>
                      <w:rFonts w:hint="eastAsia" w:ascii="Times New Roman" w:hAnsi="Times New Roman"/>
                      <w:color w:val="auto"/>
                      <w:sz w:val="18"/>
                      <w:szCs w:val="18"/>
                    </w:rPr>
                    <w:t>22</w:t>
                  </w:r>
                  <w:r>
                    <w:rPr>
                      <w:rFonts w:ascii="Times New Roman" w:hAnsi="Times New Roman"/>
                      <w:color w:val="auto"/>
                      <w:sz w:val="18"/>
                      <w:szCs w:val="18"/>
                    </w:rPr>
                    <w:t>0kV</w:t>
                  </w:r>
                  <w:r>
                    <w:rPr>
                      <w:rFonts w:hint="eastAsia" w:ascii="Times New Roman" w:hAnsi="Times New Roman"/>
                      <w:color w:val="auto"/>
                      <w:sz w:val="18"/>
                      <w:szCs w:val="18"/>
                      <w:lang w:eastAsia="zh-CN"/>
                    </w:rPr>
                    <w:t>文昌气电π接江东至玉洲</w:t>
                  </w:r>
                  <w:r>
                    <w:rPr>
                      <w:rFonts w:ascii="Times New Roman"/>
                      <w:color w:val="auto"/>
                      <w:sz w:val="18"/>
                      <w:szCs w:val="18"/>
                    </w:rPr>
                    <w:t>线</w:t>
                  </w:r>
                  <w:r>
                    <w:rPr>
                      <w:rFonts w:hint="eastAsia" w:ascii="Times New Roman"/>
                      <w:color w:val="auto"/>
                      <w:sz w:val="18"/>
                      <w:szCs w:val="18"/>
                      <w:lang w:eastAsia="zh-CN"/>
                    </w:rPr>
                    <w:t>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2" w:type="dxa"/>
                  <w:vAlign w:val="center"/>
                </w:tcPr>
                <w:p>
                  <w:pPr>
                    <w:jc w:val="center"/>
                    <w:rPr>
                      <w:rFonts w:ascii="Times New Roman" w:hAnsi="Times New Roman"/>
                      <w:color w:val="auto"/>
                      <w:kern w:val="0"/>
                      <w:sz w:val="18"/>
                      <w:szCs w:val="18"/>
                    </w:rPr>
                  </w:pPr>
                  <w:r>
                    <w:rPr>
                      <w:rFonts w:ascii="Times New Roman" w:hAnsi="Times New Roman"/>
                      <w:color w:val="auto"/>
                      <w:kern w:val="0"/>
                      <w:sz w:val="18"/>
                      <w:szCs w:val="18"/>
                    </w:rPr>
                    <w:t>2</w:t>
                  </w:r>
                </w:p>
              </w:tc>
              <w:tc>
                <w:tcPr>
                  <w:tcW w:w="1305" w:type="dxa"/>
                  <w:vAlign w:val="center"/>
                </w:tcPr>
                <w:p>
                  <w:pPr>
                    <w:jc w:val="center"/>
                    <w:rPr>
                      <w:rFonts w:ascii="Times New Roman" w:hAnsi="Times New Roman"/>
                      <w:color w:val="auto"/>
                      <w:kern w:val="0"/>
                      <w:sz w:val="18"/>
                      <w:szCs w:val="18"/>
                    </w:rPr>
                  </w:pPr>
                  <w:r>
                    <w:rPr>
                      <w:rFonts w:ascii="Times New Roman" w:hAnsi="Times New Roman"/>
                      <w:color w:val="auto"/>
                      <w:sz w:val="18"/>
                      <w:szCs w:val="18"/>
                      <w:lang w:val="zh-CN"/>
                    </w:rPr>
                    <w:t>杆塔架设型式</w:t>
                  </w:r>
                </w:p>
              </w:tc>
              <w:tc>
                <w:tcPr>
                  <w:tcW w:w="3360" w:type="dxa"/>
                  <w:vAlign w:val="center"/>
                </w:tcPr>
                <w:p>
                  <w:pPr>
                    <w:autoSpaceDE w:val="0"/>
                    <w:autoSpaceDN w:val="0"/>
                    <w:adjustRightInd w:val="0"/>
                    <w:jc w:val="center"/>
                    <w:rPr>
                      <w:rFonts w:ascii="Times New Roman" w:hAnsi="Times New Roman"/>
                      <w:bCs/>
                      <w:color w:val="auto"/>
                      <w:kern w:val="0"/>
                      <w:sz w:val="18"/>
                      <w:szCs w:val="18"/>
                    </w:rPr>
                  </w:pPr>
                  <w:r>
                    <w:rPr>
                      <w:rFonts w:ascii="Times New Roman" w:hAnsi="Times New Roman"/>
                      <w:bCs/>
                      <w:color w:val="auto"/>
                      <w:kern w:val="0"/>
                      <w:sz w:val="18"/>
                      <w:szCs w:val="18"/>
                    </w:rPr>
                    <w:t>同塔双回，垂直排列</w:t>
                  </w:r>
                </w:p>
              </w:tc>
              <w:tc>
                <w:tcPr>
                  <w:tcW w:w="3105" w:type="dxa"/>
                  <w:vAlign w:val="center"/>
                </w:tcPr>
                <w:p>
                  <w:pPr>
                    <w:autoSpaceDE w:val="0"/>
                    <w:autoSpaceDN w:val="0"/>
                    <w:adjustRightInd w:val="0"/>
                    <w:jc w:val="center"/>
                    <w:rPr>
                      <w:rFonts w:ascii="Times New Roman" w:hAnsi="Times New Roman"/>
                      <w:color w:val="auto"/>
                      <w:sz w:val="18"/>
                      <w:szCs w:val="18"/>
                      <w:lang w:val="zh-CN"/>
                    </w:rPr>
                  </w:pPr>
                  <w:r>
                    <w:rPr>
                      <w:rFonts w:ascii="Times New Roman" w:hAnsi="Times New Roman"/>
                      <w:color w:val="auto"/>
                      <w:sz w:val="18"/>
                      <w:szCs w:val="18"/>
                      <w:lang w:val="zh-CN"/>
                    </w:rPr>
                    <w:t>同塔双回，垂直排列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2" w:type="dxa"/>
                  <w:vAlign w:val="center"/>
                </w:tcPr>
                <w:p>
                  <w:pPr>
                    <w:jc w:val="center"/>
                    <w:rPr>
                      <w:rFonts w:ascii="Times New Roman" w:hAnsi="Times New Roman"/>
                      <w:color w:val="auto"/>
                      <w:kern w:val="0"/>
                      <w:sz w:val="18"/>
                      <w:szCs w:val="18"/>
                    </w:rPr>
                  </w:pPr>
                  <w:r>
                    <w:rPr>
                      <w:rFonts w:ascii="Times New Roman" w:hAnsi="Times New Roman"/>
                      <w:color w:val="auto"/>
                      <w:kern w:val="0"/>
                      <w:sz w:val="18"/>
                      <w:szCs w:val="18"/>
                    </w:rPr>
                    <w:t>3</w:t>
                  </w:r>
                </w:p>
              </w:tc>
              <w:tc>
                <w:tcPr>
                  <w:tcW w:w="1305" w:type="dxa"/>
                  <w:vAlign w:val="center"/>
                </w:tcPr>
                <w:p>
                  <w:pPr>
                    <w:jc w:val="center"/>
                    <w:rPr>
                      <w:rFonts w:ascii="Times New Roman" w:hAnsi="Times New Roman"/>
                      <w:color w:val="auto"/>
                      <w:kern w:val="0"/>
                      <w:sz w:val="18"/>
                      <w:szCs w:val="18"/>
                    </w:rPr>
                  </w:pPr>
                  <w:r>
                    <w:rPr>
                      <w:rFonts w:ascii="Times New Roman" w:hAnsi="Times New Roman"/>
                      <w:color w:val="auto"/>
                      <w:kern w:val="0"/>
                      <w:sz w:val="18"/>
                      <w:szCs w:val="18"/>
                    </w:rPr>
                    <w:t>监测时间</w:t>
                  </w:r>
                </w:p>
              </w:tc>
              <w:tc>
                <w:tcPr>
                  <w:tcW w:w="3360" w:type="dxa"/>
                  <w:vAlign w:val="center"/>
                </w:tcPr>
                <w:p>
                  <w:pPr>
                    <w:jc w:val="center"/>
                    <w:rPr>
                      <w:rFonts w:ascii="Times New Roman" w:hAnsi="Times New Roman"/>
                      <w:color w:val="auto"/>
                      <w:kern w:val="0"/>
                      <w:sz w:val="18"/>
                      <w:szCs w:val="18"/>
                    </w:rPr>
                  </w:pPr>
                  <w:r>
                    <w:rPr>
                      <w:rFonts w:ascii="Times New Roman" w:hAnsi="Times New Roman"/>
                      <w:bCs/>
                      <w:color w:val="auto"/>
                      <w:kern w:val="0"/>
                      <w:sz w:val="18"/>
                      <w:szCs w:val="18"/>
                    </w:rPr>
                    <w:t>201</w:t>
                  </w:r>
                  <w:r>
                    <w:rPr>
                      <w:rFonts w:hint="eastAsia" w:ascii="Times New Roman" w:hAnsi="Times New Roman"/>
                      <w:bCs/>
                      <w:color w:val="auto"/>
                      <w:kern w:val="0"/>
                      <w:sz w:val="18"/>
                      <w:szCs w:val="18"/>
                    </w:rPr>
                    <w:t>8</w:t>
                  </w:r>
                  <w:r>
                    <w:rPr>
                      <w:rFonts w:ascii="Times New Roman" w:hAnsi="Times New Roman"/>
                      <w:bCs/>
                      <w:color w:val="auto"/>
                      <w:kern w:val="0"/>
                      <w:sz w:val="18"/>
                      <w:szCs w:val="18"/>
                    </w:rPr>
                    <w:t>年</w:t>
                  </w:r>
                  <w:r>
                    <w:rPr>
                      <w:rFonts w:hint="eastAsia" w:ascii="Times New Roman" w:hAnsi="Times New Roman"/>
                      <w:bCs/>
                      <w:color w:val="auto"/>
                      <w:kern w:val="0"/>
                      <w:sz w:val="18"/>
                      <w:szCs w:val="18"/>
                    </w:rPr>
                    <w:t>9</w:t>
                  </w:r>
                  <w:r>
                    <w:rPr>
                      <w:rFonts w:ascii="Times New Roman" w:hAnsi="Times New Roman"/>
                      <w:bCs/>
                      <w:color w:val="auto"/>
                      <w:kern w:val="0"/>
                      <w:sz w:val="18"/>
                      <w:szCs w:val="18"/>
                    </w:rPr>
                    <w:t>月1</w:t>
                  </w:r>
                  <w:r>
                    <w:rPr>
                      <w:rFonts w:hint="eastAsia" w:ascii="Times New Roman" w:hAnsi="Times New Roman"/>
                      <w:bCs/>
                      <w:color w:val="auto"/>
                      <w:kern w:val="0"/>
                      <w:sz w:val="18"/>
                      <w:szCs w:val="18"/>
                    </w:rPr>
                    <w:t>9</w:t>
                  </w:r>
                  <w:r>
                    <w:rPr>
                      <w:rFonts w:ascii="Times New Roman" w:hAnsi="Times New Roman"/>
                      <w:bCs/>
                      <w:color w:val="auto"/>
                      <w:kern w:val="0"/>
                      <w:sz w:val="18"/>
                      <w:szCs w:val="18"/>
                    </w:rPr>
                    <w:t>日</w:t>
                  </w:r>
                </w:p>
              </w:tc>
              <w:tc>
                <w:tcPr>
                  <w:tcW w:w="3105" w:type="dxa"/>
                  <w:vAlign w:val="center"/>
                </w:tcPr>
                <w:p>
                  <w:pPr>
                    <w:jc w:val="center"/>
                    <w:rPr>
                      <w:rFonts w:ascii="Times New Roman" w:hAnsi="Times New Roman"/>
                      <w:bCs/>
                      <w:color w:val="auto"/>
                      <w:kern w:val="0"/>
                      <w:sz w:val="18"/>
                      <w:szCs w:val="18"/>
                    </w:rPr>
                  </w:pPr>
                  <w:r>
                    <w:rPr>
                      <w:rFonts w:ascii="Times New Roman" w:hAnsi="Times New Roman"/>
                      <w:bCs/>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2" w:type="dxa"/>
                  <w:vAlign w:val="center"/>
                </w:tcPr>
                <w:p>
                  <w:pPr>
                    <w:jc w:val="center"/>
                    <w:rPr>
                      <w:rFonts w:ascii="Times New Roman" w:hAnsi="Times New Roman"/>
                      <w:color w:val="auto"/>
                      <w:kern w:val="0"/>
                      <w:sz w:val="18"/>
                      <w:szCs w:val="18"/>
                    </w:rPr>
                  </w:pPr>
                  <w:r>
                    <w:rPr>
                      <w:rFonts w:ascii="Times New Roman" w:hAnsi="Times New Roman"/>
                      <w:color w:val="auto"/>
                      <w:kern w:val="0"/>
                      <w:sz w:val="18"/>
                      <w:szCs w:val="18"/>
                    </w:rPr>
                    <w:t>4</w:t>
                  </w:r>
                </w:p>
              </w:tc>
              <w:tc>
                <w:tcPr>
                  <w:tcW w:w="1305" w:type="dxa"/>
                  <w:vAlign w:val="center"/>
                </w:tcPr>
                <w:p>
                  <w:pPr>
                    <w:jc w:val="center"/>
                    <w:rPr>
                      <w:rFonts w:ascii="Times New Roman" w:hAnsi="Times New Roman"/>
                      <w:color w:val="auto"/>
                      <w:kern w:val="0"/>
                      <w:sz w:val="18"/>
                      <w:szCs w:val="18"/>
                    </w:rPr>
                  </w:pPr>
                  <w:r>
                    <w:rPr>
                      <w:rFonts w:hint="eastAsia" w:ascii="Times New Roman" w:hAnsi="Times New Roman"/>
                      <w:color w:val="auto"/>
                      <w:kern w:val="0"/>
                      <w:sz w:val="18"/>
                      <w:szCs w:val="18"/>
                    </w:rPr>
                    <w:t>线高</w:t>
                  </w:r>
                </w:p>
              </w:tc>
              <w:tc>
                <w:tcPr>
                  <w:tcW w:w="3360" w:type="dxa"/>
                  <w:vAlign w:val="center"/>
                </w:tcPr>
                <w:p>
                  <w:pPr>
                    <w:jc w:val="center"/>
                    <w:rPr>
                      <w:rFonts w:ascii="Times New Roman" w:hAnsi="Times New Roman"/>
                      <w:bCs/>
                      <w:color w:val="auto"/>
                      <w:kern w:val="0"/>
                      <w:sz w:val="18"/>
                      <w:szCs w:val="18"/>
                    </w:rPr>
                  </w:pPr>
                  <w:r>
                    <w:rPr>
                      <w:rFonts w:hint="eastAsia" w:ascii="Times New Roman" w:hAnsi="Times New Roman"/>
                      <w:bCs/>
                      <w:color w:val="auto"/>
                      <w:kern w:val="0"/>
                      <w:sz w:val="18"/>
                      <w:szCs w:val="18"/>
                    </w:rPr>
                    <w:t>21m</w:t>
                  </w:r>
                </w:p>
              </w:tc>
              <w:tc>
                <w:tcPr>
                  <w:tcW w:w="3105" w:type="dxa"/>
                  <w:vAlign w:val="center"/>
                </w:tcPr>
                <w:p>
                  <w:pPr>
                    <w:jc w:val="center"/>
                    <w:rPr>
                      <w:rFonts w:ascii="Times New Roman" w:hAnsi="Times New Roman"/>
                      <w:bCs/>
                      <w:color w:val="auto"/>
                      <w:kern w:val="0"/>
                      <w:sz w:val="18"/>
                      <w:szCs w:val="18"/>
                    </w:rPr>
                  </w:pPr>
                  <w:r>
                    <w:rPr>
                      <w:rFonts w:ascii="Times New Roman" w:hAnsi="Times New Roman"/>
                      <w:bCs/>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2" w:type="dxa"/>
                  <w:vAlign w:val="center"/>
                </w:tcPr>
                <w:p>
                  <w:pPr>
                    <w:jc w:val="center"/>
                    <w:rPr>
                      <w:rFonts w:ascii="Times New Roman" w:hAnsi="Times New Roman"/>
                      <w:color w:val="auto"/>
                      <w:kern w:val="0"/>
                      <w:sz w:val="18"/>
                      <w:szCs w:val="18"/>
                    </w:rPr>
                  </w:pPr>
                  <w:r>
                    <w:rPr>
                      <w:rFonts w:ascii="Times New Roman" w:hAnsi="Times New Roman"/>
                      <w:color w:val="auto"/>
                      <w:kern w:val="0"/>
                      <w:sz w:val="18"/>
                      <w:szCs w:val="18"/>
                    </w:rPr>
                    <w:t>5</w:t>
                  </w:r>
                </w:p>
              </w:tc>
              <w:tc>
                <w:tcPr>
                  <w:tcW w:w="1305" w:type="dxa"/>
                  <w:vAlign w:val="center"/>
                </w:tcPr>
                <w:p>
                  <w:pPr>
                    <w:jc w:val="center"/>
                    <w:rPr>
                      <w:rFonts w:ascii="Times New Roman" w:hAnsi="Times New Roman"/>
                      <w:color w:val="auto"/>
                      <w:kern w:val="0"/>
                      <w:sz w:val="18"/>
                      <w:szCs w:val="18"/>
                    </w:rPr>
                  </w:pPr>
                  <w:r>
                    <w:rPr>
                      <w:rFonts w:ascii="Times New Roman" w:hAnsi="Times New Roman"/>
                      <w:color w:val="auto"/>
                      <w:kern w:val="0"/>
                      <w:sz w:val="18"/>
                      <w:szCs w:val="18"/>
                    </w:rPr>
                    <w:t>天气状况</w:t>
                  </w:r>
                </w:p>
              </w:tc>
              <w:tc>
                <w:tcPr>
                  <w:tcW w:w="3360" w:type="dxa"/>
                  <w:vAlign w:val="center"/>
                </w:tcPr>
                <w:p>
                  <w:pPr>
                    <w:autoSpaceDE w:val="0"/>
                    <w:autoSpaceDN w:val="0"/>
                    <w:adjustRightInd w:val="0"/>
                    <w:jc w:val="center"/>
                    <w:rPr>
                      <w:rFonts w:hint="eastAsia" w:ascii="Times New Roman" w:hAnsi="Times New Roman"/>
                      <w:bCs/>
                      <w:color w:val="auto"/>
                      <w:kern w:val="0"/>
                      <w:sz w:val="18"/>
                      <w:szCs w:val="18"/>
                    </w:rPr>
                  </w:pPr>
                  <w:r>
                    <w:rPr>
                      <w:rFonts w:ascii="Times New Roman" w:hAnsi="Times New Roman"/>
                      <w:bCs/>
                      <w:color w:val="auto"/>
                      <w:kern w:val="0"/>
                      <w:sz w:val="18"/>
                      <w:szCs w:val="18"/>
                    </w:rPr>
                    <w:t>昼间：多云，</w:t>
                  </w:r>
                  <w:r>
                    <w:rPr>
                      <w:rFonts w:hint="eastAsia" w:ascii="Times New Roman" w:hAnsi="Times New Roman"/>
                      <w:bCs/>
                      <w:color w:val="auto"/>
                      <w:kern w:val="0"/>
                      <w:sz w:val="18"/>
                      <w:szCs w:val="18"/>
                    </w:rPr>
                    <w:t>32℃</w:t>
                  </w:r>
                  <w:r>
                    <w:rPr>
                      <w:rFonts w:ascii="Times New Roman" w:hAnsi="Times New Roman"/>
                      <w:bCs/>
                      <w:color w:val="auto"/>
                      <w:kern w:val="0"/>
                      <w:sz w:val="18"/>
                      <w:szCs w:val="18"/>
                    </w:rPr>
                    <w:t>，相对湿度</w:t>
                  </w:r>
                  <w:r>
                    <w:rPr>
                      <w:rFonts w:hint="eastAsia" w:ascii="Times New Roman" w:hAnsi="Times New Roman"/>
                      <w:bCs/>
                      <w:color w:val="auto"/>
                      <w:kern w:val="0"/>
                      <w:sz w:val="18"/>
                      <w:szCs w:val="18"/>
                    </w:rPr>
                    <w:t>69</w:t>
                  </w:r>
                  <w:r>
                    <w:rPr>
                      <w:rFonts w:ascii="Times New Roman" w:hAnsi="Times New Roman"/>
                      <w:bCs/>
                      <w:color w:val="auto"/>
                      <w:kern w:val="0"/>
                      <w:sz w:val="18"/>
                      <w:szCs w:val="18"/>
                    </w:rPr>
                    <w:t>%，风速</w:t>
                  </w:r>
                  <w:r>
                    <w:rPr>
                      <w:rFonts w:hint="eastAsia" w:ascii="Times New Roman" w:hAnsi="Times New Roman"/>
                      <w:bCs/>
                      <w:color w:val="auto"/>
                      <w:kern w:val="0"/>
                      <w:sz w:val="18"/>
                      <w:szCs w:val="18"/>
                    </w:rPr>
                    <w:t>2</w:t>
                  </w:r>
                  <w:r>
                    <w:rPr>
                      <w:rFonts w:ascii="Times New Roman" w:hAnsi="Times New Roman"/>
                      <w:bCs/>
                      <w:color w:val="auto"/>
                      <w:kern w:val="0"/>
                      <w:sz w:val="18"/>
                      <w:szCs w:val="18"/>
                    </w:rPr>
                    <w:t>m/s</w:t>
                  </w:r>
                </w:p>
                <w:p>
                  <w:pPr>
                    <w:autoSpaceDE w:val="0"/>
                    <w:autoSpaceDN w:val="0"/>
                    <w:adjustRightInd w:val="0"/>
                    <w:jc w:val="center"/>
                    <w:rPr>
                      <w:rFonts w:ascii="Times New Roman" w:hAnsi="Times New Roman"/>
                      <w:bCs/>
                      <w:color w:val="auto"/>
                      <w:kern w:val="0"/>
                      <w:sz w:val="18"/>
                      <w:szCs w:val="18"/>
                    </w:rPr>
                  </w:pPr>
                  <w:r>
                    <w:rPr>
                      <w:rFonts w:ascii="Times New Roman" w:hAnsi="Times New Roman"/>
                      <w:bCs/>
                      <w:color w:val="auto"/>
                      <w:kern w:val="0"/>
                      <w:sz w:val="18"/>
                      <w:szCs w:val="18"/>
                    </w:rPr>
                    <w:t>夜间：多云，2</w:t>
                  </w:r>
                  <w:r>
                    <w:rPr>
                      <w:rFonts w:hint="eastAsia" w:ascii="Times New Roman" w:hAnsi="Times New Roman"/>
                      <w:bCs/>
                      <w:color w:val="auto"/>
                      <w:kern w:val="0"/>
                      <w:sz w:val="18"/>
                      <w:szCs w:val="18"/>
                    </w:rPr>
                    <w:t>6℃</w:t>
                  </w:r>
                  <w:r>
                    <w:rPr>
                      <w:rFonts w:ascii="Times New Roman" w:hAnsi="Times New Roman"/>
                      <w:bCs/>
                      <w:color w:val="auto"/>
                      <w:kern w:val="0"/>
                      <w:sz w:val="18"/>
                      <w:szCs w:val="18"/>
                    </w:rPr>
                    <w:t>，相对湿度</w:t>
                  </w:r>
                  <w:r>
                    <w:rPr>
                      <w:rFonts w:hint="eastAsia" w:ascii="Times New Roman" w:hAnsi="Times New Roman"/>
                      <w:bCs/>
                      <w:color w:val="auto"/>
                      <w:kern w:val="0"/>
                      <w:sz w:val="18"/>
                      <w:szCs w:val="18"/>
                    </w:rPr>
                    <w:t>73</w:t>
                  </w:r>
                  <w:r>
                    <w:rPr>
                      <w:rFonts w:ascii="Times New Roman" w:hAnsi="Times New Roman"/>
                      <w:bCs/>
                      <w:color w:val="auto"/>
                      <w:kern w:val="0"/>
                      <w:sz w:val="18"/>
                      <w:szCs w:val="18"/>
                    </w:rPr>
                    <w:t>%，风速</w:t>
                  </w:r>
                  <w:r>
                    <w:rPr>
                      <w:rFonts w:hint="eastAsia" w:ascii="Times New Roman" w:hAnsi="Times New Roman"/>
                      <w:bCs/>
                      <w:color w:val="auto"/>
                      <w:kern w:val="0"/>
                      <w:sz w:val="18"/>
                      <w:szCs w:val="18"/>
                    </w:rPr>
                    <w:t>1</w:t>
                  </w:r>
                  <w:r>
                    <w:rPr>
                      <w:rFonts w:ascii="Times New Roman" w:hAnsi="Times New Roman"/>
                      <w:bCs/>
                      <w:color w:val="auto"/>
                      <w:kern w:val="0"/>
                      <w:sz w:val="18"/>
                      <w:szCs w:val="18"/>
                    </w:rPr>
                    <w:t>m/s。</w:t>
                  </w:r>
                </w:p>
              </w:tc>
              <w:tc>
                <w:tcPr>
                  <w:tcW w:w="3105" w:type="dxa"/>
                  <w:vAlign w:val="center"/>
                </w:tcPr>
                <w:p>
                  <w:pPr>
                    <w:jc w:val="center"/>
                    <w:rPr>
                      <w:rFonts w:ascii="Times New Roman" w:hAnsi="Times New Roman"/>
                      <w:bCs/>
                      <w:color w:val="auto"/>
                      <w:sz w:val="18"/>
                      <w:szCs w:val="18"/>
                    </w:rPr>
                  </w:pPr>
                  <w:r>
                    <w:rPr>
                      <w:rFonts w:ascii="Times New Roman" w:hAnsi="Times New Roman"/>
                      <w:bCs/>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2" w:type="dxa"/>
                  <w:vAlign w:val="center"/>
                </w:tcPr>
                <w:p>
                  <w:pPr>
                    <w:jc w:val="center"/>
                    <w:rPr>
                      <w:rFonts w:ascii="Times New Roman" w:hAnsi="Times New Roman"/>
                      <w:color w:val="auto"/>
                      <w:kern w:val="0"/>
                      <w:sz w:val="18"/>
                      <w:szCs w:val="18"/>
                    </w:rPr>
                  </w:pPr>
                  <w:r>
                    <w:rPr>
                      <w:rFonts w:ascii="Times New Roman" w:hAnsi="Times New Roman"/>
                      <w:color w:val="auto"/>
                      <w:kern w:val="0"/>
                      <w:sz w:val="18"/>
                      <w:szCs w:val="18"/>
                    </w:rPr>
                    <w:t>6</w:t>
                  </w:r>
                </w:p>
              </w:tc>
              <w:tc>
                <w:tcPr>
                  <w:tcW w:w="1305" w:type="dxa"/>
                  <w:vAlign w:val="center"/>
                </w:tcPr>
                <w:p>
                  <w:pPr>
                    <w:jc w:val="center"/>
                    <w:rPr>
                      <w:rFonts w:ascii="Times New Roman" w:hAnsi="Times New Roman"/>
                      <w:color w:val="auto"/>
                      <w:kern w:val="0"/>
                      <w:sz w:val="18"/>
                      <w:szCs w:val="18"/>
                    </w:rPr>
                  </w:pPr>
                  <w:r>
                    <w:rPr>
                      <w:rFonts w:ascii="Times New Roman" w:hAnsi="Times New Roman"/>
                      <w:color w:val="auto"/>
                      <w:kern w:val="0"/>
                      <w:sz w:val="18"/>
                      <w:szCs w:val="18"/>
                    </w:rPr>
                    <w:t>监测工况</w:t>
                  </w:r>
                </w:p>
              </w:tc>
              <w:tc>
                <w:tcPr>
                  <w:tcW w:w="3360" w:type="dxa"/>
                  <w:vAlign w:val="center"/>
                </w:tcPr>
                <w:p>
                  <w:pPr>
                    <w:autoSpaceDE w:val="0"/>
                    <w:autoSpaceDN w:val="0"/>
                    <w:adjustRightInd w:val="0"/>
                    <w:jc w:val="center"/>
                    <w:rPr>
                      <w:rFonts w:hint="eastAsia" w:ascii="Times New Roman" w:hAnsi="Times New Roman"/>
                      <w:bCs/>
                      <w:color w:val="auto"/>
                      <w:kern w:val="0"/>
                      <w:sz w:val="18"/>
                      <w:szCs w:val="18"/>
                    </w:rPr>
                  </w:pPr>
                  <w:r>
                    <w:rPr>
                      <w:rFonts w:hint="eastAsia" w:ascii="Times New Roman" w:hAnsi="Times New Roman"/>
                      <w:bCs/>
                      <w:color w:val="auto"/>
                      <w:kern w:val="0"/>
                      <w:sz w:val="18"/>
                      <w:szCs w:val="18"/>
                    </w:rPr>
                    <w:t>成塔Ⅰ线</w:t>
                  </w:r>
                  <w:r>
                    <w:rPr>
                      <w:rFonts w:ascii="Times New Roman" w:hAnsi="Times New Roman"/>
                      <w:bCs/>
                      <w:color w:val="auto"/>
                      <w:kern w:val="0"/>
                      <w:sz w:val="18"/>
                      <w:szCs w:val="18"/>
                    </w:rPr>
                    <w:t>：</w:t>
                  </w:r>
                  <w:r>
                    <w:rPr>
                      <w:rFonts w:hint="eastAsia" w:ascii="Times New Roman" w:hAnsi="Times New Roman"/>
                      <w:bCs/>
                      <w:color w:val="auto"/>
                      <w:kern w:val="0"/>
                      <w:sz w:val="18"/>
                      <w:szCs w:val="18"/>
                    </w:rPr>
                    <w:t>U=228.54</w:t>
                  </w:r>
                  <w:r>
                    <w:rPr>
                      <w:rFonts w:ascii="Times New Roman" w:hAnsi="Times New Roman"/>
                      <w:bCs/>
                      <w:color w:val="auto"/>
                      <w:kern w:val="0"/>
                      <w:sz w:val="18"/>
                      <w:szCs w:val="18"/>
                    </w:rPr>
                    <w:t>kV，</w:t>
                  </w:r>
                  <w:r>
                    <w:rPr>
                      <w:rFonts w:hint="eastAsia" w:ascii="Times New Roman" w:hAnsi="Times New Roman"/>
                      <w:bCs/>
                      <w:color w:val="auto"/>
                      <w:kern w:val="0"/>
                      <w:sz w:val="18"/>
                      <w:szCs w:val="18"/>
                    </w:rPr>
                    <w:t>I=180.2</w:t>
                  </w:r>
                  <w:r>
                    <w:rPr>
                      <w:rFonts w:ascii="Times New Roman" w:hAnsi="Times New Roman"/>
                      <w:bCs/>
                      <w:color w:val="auto"/>
                      <w:kern w:val="0"/>
                      <w:sz w:val="18"/>
                      <w:szCs w:val="18"/>
                    </w:rPr>
                    <w:t>A，</w:t>
                  </w:r>
                  <w:r>
                    <w:rPr>
                      <w:rFonts w:hint="eastAsia" w:ascii="Times New Roman" w:hAnsi="Times New Roman"/>
                      <w:bCs/>
                      <w:color w:val="auto"/>
                      <w:kern w:val="0"/>
                      <w:sz w:val="18"/>
                      <w:szCs w:val="18"/>
                    </w:rPr>
                    <w:t>P=58.33</w:t>
                  </w:r>
                  <w:r>
                    <w:rPr>
                      <w:rFonts w:ascii="Times New Roman" w:hAnsi="Times New Roman"/>
                      <w:bCs/>
                      <w:color w:val="auto"/>
                      <w:kern w:val="0"/>
                      <w:sz w:val="18"/>
                      <w:szCs w:val="18"/>
                    </w:rPr>
                    <w:t>MW</w:t>
                  </w:r>
                  <w:r>
                    <w:rPr>
                      <w:rFonts w:hint="eastAsia" w:ascii="Times New Roman" w:hAnsi="Times New Roman"/>
                      <w:bCs/>
                      <w:color w:val="auto"/>
                      <w:kern w:val="0"/>
                      <w:sz w:val="18"/>
                      <w:szCs w:val="18"/>
                    </w:rPr>
                    <w:t>，Q=6.37Mvar；</w:t>
                  </w:r>
                </w:p>
                <w:p>
                  <w:pPr>
                    <w:autoSpaceDE w:val="0"/>
                    <w:autoSpaceDN w:val="0"/>
                    <w:adjustRightInd w:val="0"/>
                    <w:jc w:val="center"/>
                    <w:rPr>
                      <w:rFonts w:ascii="Times New Roman" w:hAnsi="Times New Roman"/>
                      <w:bCs/>
                      <w:color w:val="auto"/>
                      <w:kern w:val="0"/>
                      <w:sz w:val="18"/>
                      <w:szCs w:val="18"/>
                    </w:rPr>
                  </w:pPr>
                  <w:r>
                    <w:rPr>
                      <w:rFonts w:hint="eastAsia" w:ascii="Times New Roman" w:hAnsi="Times New Roman"/>
                      <w:bCs/>
                      <w:color w:val="auto"/>
                      <w:kern w:val="0"/>
                      <w:sz w:val="18"/>
                      <w:szCs w:val="18"/>
                    </w:rPr>
                    <w:t>成塔Ⅱ线</w:t>
                  </w:r>
                  <w:r>
                    <w:rPr>
                      <w:rFonts w:ascii="Times New Roman" w:hAnsi="Times New Roman"/>
                      <w:bCs/>
                      <w:color w:val="auto"/>
                      <w:kern w:val="0"/>
                      <w:sz w:val="18"/>
                      <w:szCs w:val="18"/>
                    </w:rPr>
                    <w:t>：</w:t>
                  </w:r>
                  <w:r>
                    <w:rPr>
                      <w:rFonts w:hint="eastAsia" w:ascii="Times New Roman" w:hAnsi="Times New Roman"/>
                      <w:bCs/>
                      <w:color w:val="auto"/>
                      <w:kern w:val="0"/>
                      <w:sz w:val="18"/>
                      <w:szCs w:val="18"/>
                    </w:rPr>
                    <w:t>U=229.13</w:t>
                  </w:r>
                  <w:r>
                    <w:rPr>
                      <w:rFonts w:ascii="Times New Roman" w:hAnsi="Times New Roman"/>
                      <w:bCs/>
                      <w:color w:val="auto"/>
                      <w:kern w:val="0"/>
                      <w:sz w:val="18"/>
                      <w:szCs w:val="18"/>
                    </w:rPr>
                    <w:t>kV，</w:t>
                  </w:r>
                  <w:r>
                    <w:rPr>
                      <w:rFonts w:hint="eastAsia" w:ascii="Times New Roman" w:hAnsi="Times New Roman"/>
                      <w:bCs/>
                      <w:color w:val="auto"/>
                      <w:kern w:val="0"/>
                      <w:sz w:val="18"/>
                      <w:szCs w:val="18"/>
                    </w:rPr>
                    <w:t>I=186.3</w:t>
                  </w:r>
                  <w:r>
                    <w:rPr>
                      <w:rFonts w:ascii="Times New Roman" w:hAnsi="Times New Roman"/>
                      <w:bCs/>
                      <w:color w:val="auto"/>
                      <w:kern w:val="0"/>
                      <w:sz w:val="18"/>
                      <w:szCs w:val="18"/>
                    </w:rPr>
                    <w:t>A，</w:t>
                  </w:r>
                  <w:r>
                    <w:rPr>
                      <w:rFonts w:hint="eastAsia" w:ascii="Times New Roman" w:hAnsi="Times New Roman"/>
                      <w:bCs/>
                      <w:color w:val="auto"/>
                      <w:kern w:val="0"/>
                      <w:sz w:val="18"/>
                      <w:szCs w:val="18"/>
                    </w:rPr>
                    <w:t>P=57.72</w:t>
                  </w:r>
                  <w:r>
                    <w:rPr>
                      <w:rFonts w:ascii="Times New Roman" w:hAnsi="Times New Roman"/>
                      <w:bCs/>
                      <w:color w:val="auto"/>
                      <w:kern w:val="0"/>
                      <w:sz w:val="18"/>
                      <w:szCs w:val="18"/>
                    </w:rPr>
                    <w:t>MW</w:t>
                  </w:r>
                  <w:r>
                    <w:rPr>
                      <w:rFonts w:hint="eastAsia" w:ascii="Times New Roman" w:hAnsi="Times New Roman"/>
                      <w:bCs/>
                      <w:color w:val="auto"/>
                      <w:kern w:val="0"/>
                      <w:sz w:val="18"/>
                      <w:szCs w:val="18"/>
                    </w:rPr>
                    <w:t>，Q=9.23Mvar</w:t>
                  </w:r>
                </w:p>
              </w:tc>
              <w:tc>
                <w:tcPr>
                  <w:tcW w:w="3105" w:type="dxa"/>
                  <w:vAlign w:val="center"/>
                </w:tcPr>
                <w:p>
                  <w:pPr>
                    <w:jc w:val="center"/>
                    <w:rPr>
                      <w:rFonts w:ascii="Times New Roman" w:hAnsi="Times New Roman"/>
                      <w:color w:val="auto"/>
                      <w:kern w:val="0"/>
                      <w:sz w:val="18"/>
                      <w:szCs w:val="18"/>
                    </w:rPr>
                  </w:pPr>
                  <w:r>
                    <w:rPr>
                      <w:rFonts w:ascii="Times New Roman" w:hAnsi="Times New Roman"/>
                      <w:bCs/>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2" w:type="dxa"/>
                  <w:vAlign w:val="center"/>
                </w:tcPr>
                <w:p>
                  <w:pPr>
                    <w:jc w:val="center"/>
                    <w:rPr>
                      <w:rFonts w:ascii="Times New Roman" w:hAnsi="Times New Roman"/>
                      <w:color w:val="auto"/>
                      <w:kern w:val="0"/>
                      <w:sz w:val="18"/>
                      <w:szCs w:val="18"/>
                    </w:rPr>
                  </w:pPr>
                  <w:r>
                    <w:rPr>
                      <w:rFonts w:ascii="Times New Roman" w:hAnsi="Times New Roman"/>
                      <w:color w:val="auto"/>
                      <w:kern w:val="0"/>
                      <w:sz w:val="18"/>
                      <w:szCs w:val="18"/>
                    </w:rPr>
                    <w:t>7</w:t>
                  </w:r>
                </w:p>
              </w:tc>
              <w:tc>
                <w:tcPr>
                  <w:tcW w:w="1305" w:type="dxa"/>
                  <w:vAlign w:val="center"/>
                </w:tcPr>
                <w:p>
                  <w:pPr>
                    <w:jc w:val="center"/>
                    <w:rPr>
                      <w:rFonts w:ascii="Times New Roman" w:hAnsi="Times New Roman"/>
                      <w:color w:val="auto"/>
                      <w:kern w:val="0"/>
                      <w:sz w:val="18"/>
                      <w:szCs w:val="18"/>
                    </w:rPr>
                  </w:pPr>
                  <w:r>
                    <w:rPr>
                      <w:rFonts w:ascii="Times New Roman"/>
                      <w:color w:val="auto"/>
                      <w:sz w:val="18"/>
                      <w:szCs w:val="18"/>
                      <w:lang w:val="zh-CN"/>
                    </w:rPr>
                    <w:t>监测仪器</w:t>
                  </w:r>
                </w:p>
              </w:tc>
              <w:tc>
                <w:tcPr>
                  <w:tcW w:w="3360" w:type="dxa"/>
                  <w:vAlign w:val="center"/>
                </w:tcPr>
                <w:p>
                  <w:pPr>
                    <w:autoSpaceDE w:val="0"/>
                    <w:autoSpaceDN w:val="0"/>
                    <w:adjustRightInd w:val="0"/>
                    <w:jc w:val="center"/>
                    <w:rPr>
                      <w:rFonts w:ascii="Times New Roman" w:hAnsi="Times New Roman"/>
                      <w:bCs/>
                      <w:color w:val="auto"/>
                      <w:kern w:val="0"/>
                      <w:sz w:val="18"/>
                      <w:szCs w:val="18"/>
                    </w:rPr>
                  </w:pPr>
                  <w:r>
                    <w:rPr>
                      <w:rFonts w:ascii="Times New Roman" w:hAnsi="Times New Roman"/>
                      <w:bCs/>
                      <w:color w:val="auto"/>
                      <w:kern w:val="0"/>
                      <w:sz w:val="18"/>
                      <w:szCs w:val="18"/>
                    </w:rPr>
                    <w:t>AWA62</w:t>
                  </w:r>
                  <w:r>
                    <w:rPr>
                      <w:rFonts w:hint="eastAsia" w:ascii="Times New Roman" w:hAnsi="Times New Roman"/>
                      <w:bCs/>
                      <w:color w:val="auto"/>
                      <w:kern w:val="0"/>
                      <w:sz w:val="18"/>
                      <w:szCs w:val="18"/>
                    </w:rPr>
                    <w:t>28</w:t>
                  </w:r>
                  <w:r>
                    <w:rPr>
                      <w:rFonts w:ascii="Times New Roman" w:hAnsi="Times New Roman"/>
                      <w:bCs/>
                      <w:color w:val="auto"/>
                      <w:kern w:val="0"/>
                      <w:sz w:val="18"/>
                      <w:szCs w:val="18"/>
                    </w:rPr>
                    <w:t>+噪声分析仪</w:t>
                  </w:r>
                </w:p>
                <w:p>
                  <w:pPr>
                    <w:autoSpaceDE w:val="0"/>
                    <w:autoSpaceDN w:val="0"/>
                    <w:adjustRightInd w:val="0"/>
                    <w:jc w:val="center"/>
                    <w:rPr>
                      <w:rFonts w:ascii="Times New Roman" w:hAnsi="Times New Roman"/>
                      <w:bCs/>
                      <w:color w:val="auto"/>
                      <w:kern w:val="0"/>
                      <w:sz w:val="18"/>
                      <w:szCs w:val="18"/>
                    </w:rPr>
                  </w:pPr>
                  <w:r>
                    <w:rPr>
                      <w:rFonts w:ascii="Times New Roman" w:hAnsi="Times New Roman"/>
                      <w:bCs/>
                      <w:color w:val="auto"/>
                      <w:kern w:val="0"/>
                      <w:sz w:val="18"/>
                      <w:szCs w:val="18"/>
                    </w:rPr>
                    <w:t>测量范围：</w:t>
                  </w:r>
                  <w:r>
                    <w:rPr>
                      <w:rFonts w:hint="eastAsia" w:ascii="Times New Roman" w:hAnsi="Times New Roman"/>
                      <w:bCs/>
                      <w:color w:val="auto"/>
                      <w:kern w:val="0"/>
                      <w:sz w:val="18"/>
                      <w:szCs w:val="18"/>
                    </w:rPr>
                    <w:t>2</w:t>
                  </w:r>
                  <w:r>
                    <w:rPr>
                      <w:rFonts w:ascii="Times New Roman" w:hAnsi="Times New Roman"/>
                      <w:bCs/>
                      <w:color w:val="auto"/>
                      <w:kern w:val="0"/>
                      <w:sz w:val="18"/>
                      <w:szCs w:val="18"/>
                    </w:rPr>
                    <w:t>5 dB（A）~130 dB（A）；频率范围：</w:t>
                  </w:r>
                  <w:r>
                    <w:rPr>
                      <w:rFonts w:hint="eastAsia" w:ascii="Times New Roman" w:hAnsi="Times New Roman"/>
                      <w:bCs/>
                      <w:color w:val="auto"/>
                      <w:kern w:val="0"/>
                      <w:sz w:val="18"/>
                      <w:szCs w:val="18"/>
                    </w:rPr>
                    <w:t>1</w:t>
                  </w:r>
                  <w:r>
                    <w:rPr>
                      <w:rFonts w:ascii="Times New Roman" w:hAnsi="Times New Roman"/>
                      <w:bCs/>
                      <w:color w:val="auto"/>
                      <w:kern w:val="0"/>
                      <w:sz w:val="18"/>
                      <w:szCs w:val="18"/>
                    </w:rPr>
                    <w:t>0Hz~</w:t>
                  </w:r>
                  <w:r>
                    <w:rPr>
                      <w:rFonts w:hint="eastAsia" w:ascii="Times New Roman" w:hAnsi="Times New Roman"/>
                      <w:bCs/>
                      <w:color w:val="auto"/>
                      <w:kern w:val="0"/>
                      <w:sz w:val="18"/>
                      <w:szCs w:val="18"/>
                    </w:rPr>
                    <w:t>20</w:t>
                  </w:r>
                  <w:r>
                    <w:rPr>
                      <w:rFonts w:ascii="Times New Roman" w:hAnsi="Times New Roman"/>
                      <w:bCs/>
                      <w:color w:val="auto"/>
                      <w:kern w:val="0"/>
                      <w:sz w:val="18"/>
                      <w:szCs w:val="18"/>
                    </w:rPr>
                    <w:t>kHz</w:t>
                  </w:r>
                </w:p>
              </w:tc>
              <w:tc>
                <w:tcPr>
                  <w:tcW w:w="3105" w:type="dxa"/>
                  <w:vAlign w:val="center"/>
                </w:tcPr>
                <w:p>
                  <w:pPr>
                    <w:jc w:val="center"/>
                    <w:rPr>
                      <w:rFonts w:ascii="Times New Roman" w:hAnsi="Times New Roman"/>
                      <w:color w:val="auto"/>
                      <w:kern w:val="0"/>
                      <w:sz w:val="18"/>
                      <w:szCs w:val="18"/>
                    </w:rPr>
                  </w:pPr>
                  <w:r>
                    <w:rPr>
                      <w:rFonts w:ascii="Times New Roman" w:hAnsi="Times New Roman"/>
                      <w:bCs/>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22" w:type="dxa"/>
                  <w:vAlign w:val="center"/>
                </w:tcPr>
                <w:p>
                  <w:pPr>
                    <w:jc w:val="center"/>
                    <w:rPr>
                      <w:rFonts w:ascii="Times New Roman" w:hAnsi="Times New Roman"/>
                      <w:color w:val="auto"/>
                      <w:kern w:val="0"/>
                      <w:sz w:val="18"/>
                      <w:szCs w:val="18"/>
                    </w:rPr>
                  </w:pPr>
                  <w:r>
                    <w:rPr>
                      <w:rFonts w:hint="eastAsia" w:ascii="Times New Roman" w:hAnsi="Times New Roman"/>
                      <w:color w:val="auto"/>
                      <w:kern w:val="0"/>
                      <w:sz w:val="18"/>
                      <w:szCs w:val="18"/>
                    </w:rPr>
                    <w:t>8</w:t>
                  </w:r>
                </w:p>
              </w:tc>
              <w:tc>
                <w:tcPr>
                  <w:tcW w:w="1305" w:type="dxa"/>
                  <w:vAlign w:val="center"/>
                </w:tcPr>
                <w:p>
                  <w:pPr>
                    <w:jc w:val="center"/>
                    <w:rPr>
                      <w:rFonts w:ascii="Times New Roman" w:hAnsi="Times New Roman"/>
                      <w:color w:val="auto"/>
                      <w:kern w:val="0"/>
                      <w:sz w:val="18"/>
                      <w:szCs w:val="18"/>
                    </w:rPr>
                  </w:pPr>
                  <w:r>
                    <w:rPr>
                      <w:rFonts w:ascii="Times New Roman" w:hAnsi="Times New Roman"/>
                      <w:color w:val="auto"/>
                      <w:kern w:val="0"/>
                      <w:sz w:val="18"/>
                      <w:szCs w:val="18"/>
                    </w:rPr>
                    <w:t>数据来源</w:t>
                  </w:r>
                </w:p>
              </w:tc>
              <w:tc>
                <w:tcPr>
                  <w:tcW w:w="3360" w:type="dxa"/>
                  <w:vAlign w:val="center"/>
                </w:tcPr>
                <w:p>
                  <w:pPr>
                    <w:autoSpaceDE w:val="0"/>
                    <w:autoSpaceDN w:val="0"/>
                    <w:adjustRightInd w:val="0"/>
                    <w:jc w:val="center"/>
                    <w:rPr>
                      <w:rFonts w:ascii="Times New Roman" w:hAnsi="Times New Roman"/>
                      <w:bCs/>
                      <w:color w:val="auto"/>
                      <w:kern w:val="0"/>
                      <w:sz w:val="18"/>
                      <w:szCs w:val="18"/>
                    </w:rPr>
                  </w:pPr>
                  <w:r>
                    <w:rPr>
                      <w:rFonts w:ascii="Times New Roman" w:hAnsi="Times New Roman"/>
                      <w:bCs/>
                      <w:color w:val="auto"/>
                      <w:kern w:val="0"/>
                      <w:sz w:val="18"/>
                      <w:szCs w:val="18"/>
                    </w:rPr>
                    <w:t>数据引自《</w:t>
                  </w:r>
                  <w:r>
                    <w:rPr>
                      <w:rFonts w:hint="eastAsia" w:ascii="Times New Roman" w:hAnsi="Times New Roman"/>
                      <w:bCs/>
                      <w:color w:val="auto"/>
                      <w:kern w:val="0"/>
                      <w:sz w:val="18"/>
                      <w:szCs w:val="18"/>
                    </w:rPr>
                    <w:t>22</w:t>
                  </w:r>
                  <w:r>
                    <w:rPr>
                      <w:rFonts w:ascii="Times New Roman" w:hAnsi="Times New Roman"/>
                      <w:bCs/>
                      <w:color w:val="auto"/>
                      <w:kern w:val="0"/>
                      <w:sz w:val="18"/>
                      <w:szCs w:val="18"/>
                    </w:rPr>
                    <w:t>0kV</w:t>
                  </w:r>
                  <w:r>
                    <w:rPr>
                      <w:rFonts w:hint="eastAsia" w:ascii="Times New Roman" w:hAnsi="Times New Roman"/>
                      <w:bCs/>
                      <w:color w:val="auto"/>
                      <w:kern w:val="0"/>
                      <w:sz w:val="18"/>
                      <w:szCs w:val="18"/>
                    </w:rPr>
                    <w:t>成塔Ⅰ、Ⅱ回线路噪声</w:t>
                  </w:r>
                  <w:r>
                    <w:rPr>
                      <w:rFonts w:ascii="Times New Roman" w:hAnsi="Times New Roman"/>
                      <w:bCs/>
                      <w:color w:val="auto"/>
                      <w:kern w:val="0"/>
                      <w:sz w:val="18"/>
                      <w:szCs w:val="18"/>
                    </w:rPr>
                    <w:t>现状检测报告》，</w:t>
                  </w:r>
                  <w:r>
                    <w:rPr>
                      <w:rFonts w:hint="eastAsia" w:ascii="Times New Roman" w:hAnsi="Times New Roman"/>
                      <w:bCs/>
                      <w:color w:val="auto"/>
                      <w:kern w:val="0"/>
                      <w:sz w:val="18"/>
                      <w:szCs w:val="18"/>
                    </w:rPr>
                    <w:t>GDNEPTRL</w:t>
                  </w:r>
                  <w:r>
                    <w:rPr>
                      <w:rFonts w:ascii="Times New Roman" w:hAnsi="Times New Roman"/>
                      <w:bCs/>
                      <w:color w:val="auto"/>
                      <w:kern w:val="0"/>
                      <w:sz w:val="18"/>
                      <w:szCs w:val="18"/>
                    </w:rPr>
                    <w:t>/P/201</w:t>
                  </w:r>
                  <w:r>
                    <w:rPr>
                      <w:rFonts w:hint="eastAsia" w:ascii="Times New Roman" w:hAnsi="Times New Roman"/>
                      <w:bCs/>
                      <w:color w:val="auto"/>
                      <w:kern w:val="0"/>
                      <w:sz w:val="18"/>
                      <w:szCs w:val="18"/>
                    </w:rPr>
                    <w:t>8</w:t>
                  </w:r>
                  <w:r>
                    <w:rPr>
                      <w:rFonts w:ascii="Times New Roman" w:hAnsi="Times New Roman"/>
                      <w:bCs/>
                      <w:color w:val="auto"/>
                      <w:kern w:val="0"/>
                      <w:sz w:val="18"/>
                      <w:szCs w:val="18"/>
                    </w:rPr>
                    <w:t>-1</w:t>
                  </w:r>
                  <w:r>
                    <w:rPr>
                      <w:rFonts w:hint="eastAsia" w:ascii="Times New Roman" w:hAnsi="Times New Roman"/>
                      <w:bCs/>
                      <w:color w:val="auto"/>
                      <w:kern w:val="0"/>
                      <w:sz w:val="18"/>
                      <w:szCs w:val="18"/>
                    </w:rPr>
                    <w:t>8115</w:t>
                  </w:r>
                  <w:r>
                    <w:rPr>
                      <w:rFonts w:ascii="Times New Roman" w:hAnsi="Times New Roman"/>
                      <w:bCs/>
                      <w:color w:val="auto"/>
                      <w:kern w:val="0"/>
                      <w:sz w:val="18"/>
                      <w:szCs w:val="18"/>
                    </w:rPr>
                    <w:t>-DC，</w:t>
                  </w:r>
                  <w:r>
                    <w:rPr>
                      <w:rFonts w:hint="eastAsia" w:ascii="Times New Roman" w:hAnsi="Times New Roman"/>
                      <w:bCs/>
                      <w:color w:val="auto"/>
                      <w:kern w:val="0"/>
                      <w:sz w:val="18"/>
                      <w:szCs w:val="18"/>
                    </w:rPr>
                    <w:t>国电南京电力试验研究有限公司</w:t>
                  </w:r>
                  <w:r>
                    <w:rPr>
                      <w:rFonts w:ascii="Times New Roman" w:hAnsi="Times New Roman"/>
                      <w:bCs/>
                      <w:color w:val="auto"/>
                      <w:kern w:val="0"/>
                      <w:sz w:val="18"/>
                      <w:szCs w:val="18"/>
                    </w:rPr>
                    <w:t>，201</w:t>
                  </w:r>
                  <w:r>
                    <w:rPr>
                      <w:rFonts w:hint="eastAsia" w:ascii="Times New Roman" w:hAnsi="Times New Roman"/>
                      <w:bCs/>
                      <w:color w:val="auto"/>
                      <w:kern w:val="0"/>
                      <w:sz w:val="18"/>
                      <w:szCs w:val="18"/>
                    </w:rPr>
                    <w:t>8</w:t>
                  </w:r>
                  <w:r>
                    <w:rPr>
                      <w:rFonts w:ascii="Times New Roman" w:hAnsi="Times New Roman"/>
                      <w:bCs/>
                      <w:color w:val="auto"/>
                      <w:kern w:val="0"/>
                      <w:sz w:val="18"/>
                      <w:szCs w:val="18"/>
                    </w:rPr>
                    <w:t>年</w:t>
                  </w:r>
                  <w:r>
                    <w:rPr>
                      <w:rFonts w:hint="eastAsia" w:ascii="Times New Roman" w:hAnsi="Times New Roman"/>
                      <w:bCs/>
                      <w:color w:val="auto"/>
                      <w:kern w:val="0"/>
                      <w:sz w:val="18"/>
                      <w:szCs w:val="18"/>
                    </w:rPr>
                    <w:t>9</w:t>
                  </w:r>
                  <w:r>
                    <w:rPr>
                      <w:rFonts w:ascii="Times New Roman" w:hAnsi="Times New Roman"/>
                      <w:bCs/>
                      <w:color w:val="auto"/>
                      <w:kern w:val="0"/>
                      <w:sz w:val="18"/>
                      <w:szCs w:val="18"/>
                    </w:rPr>
                    <w:t>月编制</w:t>
                  </w:r>
                </w:p>
              </w:tc>
              <w:tc>
                <w:tcPr>
                  <w:tcW w:w="3105" w:type="dxa"/>
                  <w:vAlign w:val="center"/>
                </w:tcPr>
                <w:p>
                  <w:pPr>
                    <w:jc w:val="center"/>
                    <w:rPr>
                      <w:rFonts w:ascii="Times New Roman" w:hAnsi="Times New Roman"/>
                      <w:color w:val="auto"/>
                      <w:kern w:val="0"/>
                      <w:sz w:val="18"/>
                      <w:szCs w:val="18"/>
                    </w:rPr>
                  </w:pPr>
                  <w:r>
                    <w:rPr>
                      <w:rFonts w:hint="eastAsia" w:ascii="Times New Roman" w:hAnsi="Times New Roman"/>
                      <w:color w:val="auto"/>
                      <w:kern w:val="0"/>
                      <w:sz w:val="18"/>
                      <w:szCs w:val="18"/>
                    </w:rPr>
                    <w:t>—</w:t>
                  </w:r>
                </w:p>
              </w:tc>
            </w:tr>
          </w:tbl>
          <w:p>
            <w:pPr>
              <w:spacing w:before="156" w:beforeLines="50"/>
              <w:ind w:firstLine="422"/>
              <w:jc w:val="center"/>
              <w:rPr>
                <w:rFonts w:ascii="Times New Roman" w:hAnsi="Times New Roman"/>
                <w:color w:val="auto"/>
              </w:rPr>
            </w:pPr>
            <w:r>
              <w:rPr>
                <w:rFonts w:ascii="Times New Roman" w:hAnsi="Times New Roman"/>
                <w:b/>
                <w:color w:val="auto"/>
              </w:rPr>
              <w:t>表7.</w:t>
            </w:r>
            <w:r>
              <w:rPr>
                <w:rFonts w:hint="eastAsia" w:ascii="Times New Roman" w:hAnsi="Times New Roman"/>
                <w:b/>
                <w:color w:val="auto"/>
              </w:rPr>
              <w:t>4 22</w:t>
            </w:r>
            <w:r>
              <w:rPr>
                <w:rFonts w:ascii="Times New Roman" w:hAnsi="Times New Roman"/>
                <w:b/>
                <w:color w:val="auto"/>
              </w:rPr>
              <w:t>0kV</w:t>
            </w:r>
            <w:r>
              <w:rPr>
                <w:rFonts w:hint="eastAsia" w:ascii="Times New Roman" w:hAnsi="Times New Roman"/>
                <w:b/>
                <w:color w:val="auto"/>
              </w:rPr>
              <w:t>成塔Ⅰ、Ⅱ回线路</w:t>
            </w:r>
            <w:r>
              <w:rPr>
                <w:rFonts w:ascii="Times New Roman" w:hAnsi="Times New Roman"/>
                <w:b/>
                <w:color w:val="auto"/>
              </w:rPr>
              <w:t>线噪声类比检测结果</w:t>
            </w:r>
          </w:p>
          <w:tbl>
            <w:tblPr>
              <w:tblStyle w:val="50"/>
              <w:tblW w:w="81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7"/>
              <w:gridCol w:w="2062"/>
              <w:gridCol w:w="2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3597" w:type="dxa"/>
                  <w:vMerge w:val="restart"/>
                  <w:vAlign w:val="center"/>
                </w:tcPr>
                <w:p>
                  <w:pPr>
                    <w:jc w:val="center"/>
                    <w:rPr>
                      <w:rFonts w:ascii="Times New Roman" w:hAnsi="Times New Roman"/>
                      <w:color w:val="auto"/>
                    </w:rPr>
                  </w:pPr>
                  <w:r>
                    <w:rPr>
                      <w:rFonts w:ascii="Times New Roman" w:hAnsi="Times New Roman"/>
                      <w:color w:val="auto"/>
                    </w:rPr>
                    <w:t>距#</w:t>
                  </w:r>
                  <w:r>
                    <w:rPr>
                      <w:rFonts w:hint="eastAsia" w:ascii="Times New Roman" w:hAnsi="Times New Roman"/>
                      <w:color w:val="auto"/>
                    </w:rPr>
                    <w:t>22</w:t>
                  </w:r>
                  <w:r>
                    <w:rPr>
                      <w:rFonts w:ascii="Times New Roman" w:hAnsi="Times New Roman"/>
                      <w:color w:val="auto"/>
                    </w:rPr>
                    <w:t>~#</w:t>
                  </w:r>
                  <w:r>
                    <w:rPr>
                      <w:rFonts w:hint="eastAsia" w:ascii="Times New Roman" w:hAnsi="Times New Roman"/>
                      <w:color w:val="auto"/>
                    </w:rPr>
                    <w:t>23</w:t>
                  </w:r>
                  <w:r>
                    <w:rPr>
                      <w:rFonts w:ascii="Times New Roman" w:hAnsi="Times New Roman"/>
                      <w:color w:val="auto"/>
                    </w:rPr>
                    <w:t>塔间</w:t>
                  </w:r>
                  <w:r>
                    <w:rPr>
                      <w:rFonts w:hint="eastAsia" w:ascii="Times New Roman" w:hAnsi="Times New Roman"/>
                      <w:color w:val="auto"/>
                    </w:rPr>
                    <w:t>弧垂</w:t>
                  </w:r>
                  <w:r>
                    <w:rPr>
                      <w:rFonts w:ascii="Times New Roman" w:hAnsi="Times New Roman"/>
                      <w:color w:val="auto"/>
                    </w:rPr>
                    <w:t>最低处</w:t>
                  </w:r>
                  <w:r>
                    <w:rPr>
                      <w:rFonts w:hint="eastAsia" w:ascii="Times New Roman" w:hAnsi="Times New Roman"/>
                      <w:color w:val="auto"/>
                    </w:rPr>
                    <w:t>线路中心线地面</w:t>
                  </w:r>
                  <w:r>
                    <w:rPr>
                      <w:rFonts w:ascii="Times New Roman" w:hAnsi="Times New Roman"/>
                      <w:color w:val="auto"/>
                    </w:rPr>
                    <w:t>投影</w:t>
                  </w:r>
                  <w:r>
                    <w:rPr>
                      <w:rFonts w:hint="eastAsia" w:ascii="Times New Roman" w:hAnsi="Times New Roman"/>
                      <w:color w:val="auto"/>
                    </w:rPr>
                    <w:t>处</w:t>
                  </w:r>
                  <w:r>
                    <w:rPr>
                      <w:rFonts w:ascii="Times New Roman" w:hAnsi="Times New Roman"/>
                      <w:color w:val="auto"/>
                    </w:rPr>
                    <w:t>（m）</w:t>
                  </w:r>
                </w:p>
              </w:tc>
              <w:tc>
                <w:tcPr>
                  <w:tcW w:w="4574" w:type="dxa"/>
                  <w:gridSpan w:val="2"/>
                  <w:vAlign w:val="center"/>
                </w:tcPr>
                <w:p>
                  <w:pPr>
                    <w:jc w:val="center"/>
                    <w:rPr>
                      <w:rFonts w:ascii="Times New Roman" w:hAnsi="Times New Roman"/>
                      <w:color w:val="auto"/>
                    </w:rPr>
                  </w:pPr>
                  <w:r>
                    <w:rPr>
                      <w:rFonts w:ascii="Times New Roman" w:hAnsi="Times New Roman"/>
                      <w:color w:val="auto"/>
                    </w:rPr>
                    <w:t>噪声（dB（A））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3597" w:type="dxa"/>
                  <w:vMerge w:val="continue"/>
                  <w:vAlign w:val="center"/>
                </w:tcPr>
                <w:p>
                  <w:pPr>
                    <w:jc w:val="center"/>
                    <w:rPr>
                      <w:rFonts w:ascii="Times New Roman" w:hAnsi="Times New Roman"/>
                      <w:color w:val="auto"/>
                    </w:rPr>
                  </w:pPr>
                </w:p>
              </w:tc>
              <w:tc>
                <w:tcPr>
                  <w:tcW w:w="2062" w:type="dxa"/>
                  <w:vAlign w:val="center"/>
                </w:tcPr>
                <w:p>
                  <w:pPr>
                    <w:jc w:val="center"/>
                    <w:rPr>
                      <w:rFonts w:ascii="Times New Roman" w:hAnsi="Times New Roman"/>
                      <w:color w:val="auto"/>
                    </w:rPr>
                  </w:pPr>
                  <w:r>
                    <w:rPr>
                      <w:rFonts w:ascii="Times New Roman" w:hAnsi="Times New Roman"/>
                      <w:color w:val="auto"/>
                    </w:rPr>
                    <w:t>昼间</w:t>
                  </w:r>
                </w:p>
              </w:tc>
              <w:tc>
                <w:tcPr>
                  <w:tcW w:w="2512" w:type="dxa"/>
                  <w:vAlign w:val="center"/>
                </w:tcPr>
                <w:p>
                  <w:pPr>
                    <w:jc w:val="center"/>
                    <w:rPr>
                      <w:rFonts w:ascii="Times New Roman" w:hAnsi="Times New Roman"/>
                      <w:color w:val="auto"/>
                    </w:rPr>
                  </w:pPr>
                  <w:r>
                    <w:rPr>
                      <w:rFonts w:ascii="Times New Roman" w:hAnsi="Times New Roman"/>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7" w:type="dxa"/>
                  <w:vAlign w:val="center"/>
                </w:tcPr>
                <w:p>
                  <w:pPr>
                    <w:jc w:val="center"/>
                    <w:rPr>
                      <w:rFonts w:ascii="Times New Roman" w:hAnsi="Times New Roman"/>
                      <w:color w:val="auto"/>
                    </w:rPr>
                  </w:pPr>
                  <w:r>
                    <w:rPr>
                      <w:rFonts w:ascii="Times New Roman" w:hAnsi="Times New Roman"/>
                      <w:color w:val="auto"/>
                    </w:rPr>
                    <w:t>0</w:t>
                  </w:r>
                </w:p>
              </w:tc>
              <w:tc>
                <w:tcPr>
                  <w:tcW w:w="2062" w:type="dxa"/>
                  <w:vAlign w:val="center"/>
                </w:tcPr>
                <w:p>
                  <w:pPr>
                    <w:jc w:val="center"/>
                    <w:rPr>
                      <w:rFonts w:ascii="Times New Roman" w:hAnsi="Times New Roman"/>
                      <w:color w:val="auto"/>
                    </w:rPr>
                  </w:pPr>
                  <w:r>
                    <w:rPr>
                      <w:rFonts w:ascii="Times New Roman" w:hAnsi="Times New Roman"/>
                      <w:color w:val="auto"/>
                    </w:rPr>
                    <w:t>4</w:t>
                  </w:r>
                  <w:r>
                    <w:rPr>
                      <w:rFonts w:hint="eastAsia" w:ascii="Times New Roman" w:hAnsi="Times New Roman"/>
                      <w:color w:val="auto"/>
                    </w:rPr>
                    <w:t>1.4</w:t>
                  </w:r>
                </w:p>
              </w:tc>
              <w:tc>
                <w:tcPr>
                  <w:tcW w:w="2512" w:type="dxa"/>
                  <w:vAlign w:val="center"/>
                </w:tcPr>
                <w:p>
                  <w:pPr>
                    <w:jc w:val="center"/>
                    <w:rPr>
                      <w:rFonts w:ascii="Times New Roman" w:hAnsi="Times New Roman"/>
                      <w:color w:val="auto"/>
                    </w:rPr>
                  </w:pPr>
                  <w:r>
                    <w:rPr>
                      <w:rFonts w:hint="eastAsia" w:ascii="Times New Roman" w:hAnsi="Times New Roman"/>
                      <w:color w:val="auto"/>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7" w:type="dxa"/>
                  <w:vAlign w:val="center"/>
                </w:tcPr>
                <w:p>
                  <w:pPr>
                    <w:jc w:val="center"/>
                    <w:rPr>
                      <w:rFonts w:ascii="Times New Roman" w:hAnsi="Times New Roman"/>
                      <w:color w:val="auto"/>
                    </w:rPr>
                  </w:pPr>
                  <w:r>
                    <w:rPr>
                      <w:rFonts w:ascii="Times New Roman" w:hAnsi="Times New Roman"/>
                      <w:color w:val="auto"/>
                    </w:rPr>
                    <w:t>5</w:t>
                  </w:r>
                </w:p>
              </w:tc>
              <w:tc>
                <w:tcPr>
                  <w:tcW w:w="2062" w:type="dxa"/>
                  <w:vAlign w:val="center"/>
                </w:tcPr>
                <w:p>
                  <w:pPr>
                    <w:jc w:val="center"/>
                    <w:rPr>
                      <w:rFonts w:ascii="Times New Roman" w:hAnsi="Times New Roman"/>
                      <w:color w:val="auto"/>
                    </w:rPr>
                  </w:pPr>
                  <w:r>
                    <w:rPr>
                      <w:rFonts w:ascii="Times New Roman" w:hAnsi="Times New Roman"/>
                      <w:color w:val="auto"/>
                    </w:rPr>
                    <w:t>4</w:t>
                  </w:r>
                  <w:r>
                    <w:rPr>
                      <w:rFonts w:hint="eastAsia" w:ascii="Times New Roman" w:hAnsi="Times New Roman"/>
                      <w:color w:val="auto"/>
                    </w:rPr>
                    <w:t>1.2</w:t>
                  </w:r>
                </w:p>
              </w:tc>
              <w:tc>
                <w:tcPr>
                  <w:tcW w:w="2512" w:type="dxa"/>
                  <w:vAlign w:val="center"/>
                </w:tcPr>
                <w:p>
                  <w:pPr>
                    <w:jc w:val="center"/>
                    <w:rPr>
                      <w:rFonts w:ascii="Times New Roman" w:hAnsi="Times New Roman"/>
                      <w:color w:val="auto"/>
                    </w:rPr>
                  </w:pPr>
                  <w:r>
                    <w:rPr>
                      <w:rFonts w:hint="eastAsia" w:ascii="Times New Roman" w:hAnsi="Times New Roman"/>
                      <w:color w:val="auto"/>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7" w:type="dxa"/>
                  <w:vAlign w:val="center"/>
                </w:tcPr>
                <w:p>
                  <w:pPr>
                    <w:jc w:val="center"/>
                    <w:rPr>
                      <w:rFonts w:ascii="Times New Roman" w:hAnsi="Times New Roman"/>
                      <w:color w:val="auto"/>
                    </w:rPr>
                  </w:pPr>
                  <w:r>
                    <w:rPr>
                      <w:rFonts w:ascii="Times New Roman" w:hAnsi="Times New Roman"/>
                      <w:color w:val="auto"/>
                    </w:rPr>
                    <w:t>10</w:t>
                  </w:r>
                </w:p>
              </w:tc>
              <w:tc>
                <w:tcPr>
                  <w:tcW w:w="2062" w:type="dxa"/>
                  <w:vAlign w:val="center"/>
                </w:tcPr>
                <w:p>
                  <w:pPr>
                    <w:jc w:val="center"/>
                    <w:rPr>
                      <w:rFonts w:ascii="Times New Roman" w:hAnsi="Times New Roman"/>
                      <w:color w:val="auto"/>
                    </w:rPr>
                  </w:pPr>
                  <w:r>
                    <w:rPr>
                      <w:rFonts w:ascii="Times New Roman" w:hAnsi="Times New Roman"/>
                      <w:color w:val="auto"/>
                    </w:rPr>
                    <w:t>4</w:t>
                  </w:r>
                  <w:r>
                    <w:rPr>
                      <w:rFonts w:hint="eastAsia" w:ascii="Times New Roman" w:hAnsi="Times New Roman"/>
                      <w:color w:val="auto"/>
                    </w:rPr>
                    <w:t>1.1</w:t>
                  </w:r>
                </w:p>
              </w:tc>
              <w:tc>
                <w:tcPr>
                  <w:tcW w:w="2512" w:type="dxa"/>
                  <w:vAlign w:val="center"/>
                </w:tcPr>
                <w:p>
                  <w:pPr>
                    <w:jc w:val="center"/>
                    <w:rPr>
                      <w:rFonts w:ascii="Times New Roman" w:hAnsi="Times New Roman"/>
                      <w:color w:val="auto"/>
                    </w:rPr>
                  </w:pPr>
                  <w:r>
                    <w:rPr>
                      <w:rFonts w:hint="eastAsia" w:ascii="Times New Roman" w:hAnsi="Times New Roman"/>
                      <w:color w:val="auto"/>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7" w:type="dxa"/>
                  <w:vAlign w:val="center"/>
                </w:tcPr>
                <w:p>
                  <w:pPr>
                    <w:jc w:val="center"/>
                    <w:rPr>
                      <w:rFonts w:ascii="Times New Roman" w:hAnsi="Times New Roman"/>
                      <w:color w:val="auto"/>
                    </w:rPr>
                  </w:pPr>
                  <w:r>
                    <w:rPr>
                      <w:rFonts w:ascii="Times New Roman" w:hAnsi="Times New Roman"/>
                      <w:color w:val="auto"/>
                    </w:rPr>
                    <w:t>15</w:t>
                  </w:r>
                </w:p>
              </w:tc>
              <w:tc>
                <w:tcPr>
                  <w:tcW w:w="2062" w:type="dxa"/>
                  <w:vAlign w:val="center"/>
                </w:tcPr>
                <w:p>
                  <w:pPr>
                    <w:jc w:val="center"/>
                    <w:rPr>
                      <w:rFonts w:ascii="Times New Roman" w:hAnsi="Times New Roman"/>
                      <w:color w:val="auto"/>
                    </w:rPr>
                  </w:pPr>
                  <w:r>
                    <w:rPr>
                      <w:rFonts w:ascii="Times New Roman" w:hAnsi="Times New Roman"/>
                      <w:color w:val="auto"/>
                    </w:rPr>
                    <w:t>4</w:t>
                  </w:r>
                  <w:r>
                    <w:rPr>
                      <w:rFonts w:hint="eastAsia" w:ascii="Times New Roman" w:hAnsi="Times New Roman"/>
                      <w:color w:val="auto"/>
                    </w:rPr>
                    <w:t>0</w:t>
                  </w:r>
                  <w:r>
                    <w:rPr>
                      <w:rFonts w:ascii="Times New Roman" w:hAnsi="Times New Roman"/>
                      <w:color w:val="auto"/>
                    </w:rPr>
                    <w:t>.</w:t>
                  </w:r>
                  <w:r>
                    <w:rPr>
                      <w:rFonts w:hint="eastAsia" w:ascii="Times New Roman" w:hAnsi="Times New Roman"/>
                      <w:color w:val="auto"/>
                    </w:rPr>
                    <w:t>7</w:t>
                  </w:r>
                </w:p>
              </w:tc>
              <w:tc>
                <w:tcPr>
                  <w:tcW w:w="2512" w:type="dxa"/>
                  <w:vAlign w:val="center"/>
                </w:tcPr>
                <w:p>
                  <w:pPr>
                    <w:jc w:val="center"/>
                    <w:rPr>
                      <w:rFonts w:ascii="Times New Roman" w:hAnsi="Times New Roman"/>
                      <w:color w:val="auto"/>
                    </w:rPr>
                  </w:pPr>
                  <w:r>
                    <w:rPr>
                      <w:rFonts w:hint="eastAsia" w:ascii="Times New Roman" w:hAnsi="Times New Roman"/>
                      <w:color w:val="auto"/>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7" w:type="dxa"/>
                  <w:vAlign w:val="center"/>
                </w:tcPr>
                <w:p>
                  <w:pPr>
                    <w:jc w:val="center"/>
                    <w:rPr>
                      <w:rFonts w:ascii="Times New Roman" w:hAnsi="Times New Roman"/>
                      <w:color w:val="auto"/>
                    </w:rPr>
                  </w:pPr>
                  <w:r>
                    <w:rPr>
                      <w:rFonts w:ascii="Times New Roman" w:hAnsi="Times New Roman"/>
                      <w:color w:val="auto"/>
                    </w:rPr>
                    <w:t>20</w:t>
                  </w:r>
                </w:p>
              </w:tc>
              <w:tc>
                <w:tcPr>
                  <w:tcW w:w="2062" w:type="dxa"/>
                  <w:vAlign w:val="center"/>
                </w:tcPr>
                <w:p>
                  <w:pPr>
                    <w:jc w:val="center"/>
                    <w:rPr>
                      <w:rFonts w:ascii="Times New Roman" w:hAnsi="Times New Roman"/>
                      <w:color w:val="auto"/>
                    </w:rPr>
                  </w:pPr>
                  <w:r>
                    <w:rPr>
                      <w:rFonts w:ascii="Times New Roman" w:hAnsi="Times New Roman"/>
                      <w:color w:val="auto"/>
                    </w:rPr>
                    <w:t>4</w:t>
                  </w:r>
                  <w:r>
                    <w:rPr>
                      <w:rFonts w:hint="eastAsia" w:ascii="Times New Roman" w:hAnsi="Times New Roman"/>
                      <w:color w:val="auto"/>
                    </w:rPr>
                    <w:t>1.3</w:t>
                  </w:r>
                </w:p>
              </w:tc>
              <w:tc>
                <w:tcPr>
                  <w:tcW w:w="2512" w:type="dxa"/>
                  <w:vAlign w:val="center"/>
                </w:tcPr>
                <w:p>
                  <w:pPr>
                    <w:jc w:val="center"/>
                    <w:rPr>
                      <w:rFonts w:ascii="Times New Roman" w:hAnsi="Times New Roman"/>
                      <w:color w:val="auto"/>
                    </w:rPr>
                  </w:pPr>
                  <w:r>
                    <w:rPr>
                      <w:rFonts w:hint="eastAsia" w:ascii="Times New Roman" w:hAnsi="Times New Roman"/>
                      <w:color w:val="auto"/>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7" w:type="dxa"/>
                  <w:vAlign w:val="center"/>
                </w:tcPr>
                <w:p>
                  <w:pPr>
                    <w:jc w:val="center"/>
                    <w:rPr>
                      <w:rFonts w:ascii="Times New Roman" w:hAnsi="Times New Roman"/>
                      <w:color w:val="auto"/>
                    </w:rPr>
                  </w:pPr>
                  <w:r>
                    <w:rPr>
                      <w:rFonts w:ascii="Times New Roman" w:hAnsi="Times New Roman"/>
                      <w:color w:val="auto"/>
                    </w:rPr>
                    <w:t>25</w:t>
                  </w:r>
                </w:p>
              </w:tc>
              <w:tc>
                <w:tcPr>
                  <w:tcW w:w="2062" w:type="dxa"/>
                  <w:vAlign w:val="center"/>
                </w:tcPr>
                <w:p>
                  <w:pPr>
                    <w:jc w:val="center"/>
                    <w:rPr>
                      <w:rFonts w:ascii="Times New Roman" w:hAnsi="Times New Roman"/>
                      <w:color w:val="auto"/>
                    </w:rPr>
                  </w:pPr>
                  <w:r>
                    <w:rPr>
                      <w:rFonts w:ascii="Times New Roman" w:hAnsi="Times New Roman"/>
                      <w:color w:val="auto"/>
                    </w:rPr>
                    <w:t>4</w:t>
                  </w:r>
                  <w:r>
                    <w:rPr>
                      <w:rFonts w:hint="eastAsia" w:ascii="Times New Roman" w:hAnsi="Times New Roman"/>
                      <w:color w:val="auto"/>
                    </w:rPr>
                    <w:t>1</w:t>
                  </w:r>
                  <w:r>
                    <w:rPr>
                      <w:rFonts w:ascii="Times New Roman" w:hAnsi="Times New Roman"/>
                      <w:color w:val="auto"/>
                    </w:rPr>
                    <w:t>.</w:t>
                  </w:r>
                  <w:r>
                    <w:rPr>
                      <w:rFonts w:hint="eastAsia" w:ascii="Times New Roman" w:hAnsi="Times New Roman"/>
                      <w:color w:val="auto"/>
                    </w:rPr>
                    <w:t>2</w:t>
                  </w:r>
                </w:p>
              </w:tc>
              <w:tc>
                <w:tcPr>
                  <w:tcW w:w="2512" w:type="dxa"/>
                  <w:vAlign w:val="center"/>
                </w:tcPr>
                <w:p>
                  <w:pPr>
                    <w:jc w:val="center"/>
                    <w:rPr>
                      <w:rFonts w:ascii="Times New Roman" w:hAnsi="Times New Roman"/>
                      <w:color w:val="auto"/>
                    </w:rPr>
                  </w:pPr>
                  <w:r>
                    <w:rPr>
                      <w:rFonts w:hint="eastAsia" w:ascii="Times New Roman" w:hAnsi="Times New Roman"/>
                      <w:color w:val="auto"/>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7" w:type="dxa"/>
                  <w:vAlign w:val="center"/>
                </w:tcPr>
                <w:p>
                  <w:pPr>
                    <w:jc w:val="center"/>
                    <w:rPr>
                      <w:rFonts w:ascii="Times New Roman" w:hAnsi="Times New Roman"/>
                      <w:color w:val="auto"/>
                    </w:rPr>
                  </w:pPr>
                  <w:r>
                    <w:rPr>
                      <w:rFonts w:ascii="Times New Roman" w:hAnsi="Times New Roman"/>
                      <w:color w:val="auto"/>
                    </w:rPr>
                    <w:t>30</w:t>
                  </w:r>
                </w:p>
              </w:tc>
              <w:tc>
                <w:tcPr>
                  <w:tcW w:w="2062" w:type="dxa"/>
                  <w:vAlign w:val="center"/>
                </w:tcPr>
                <w:p>
                  <w:pPr>
                    <w:jc w:val="center"/>
                    <w:rPr>
                      <w:rFonts w:ascii="Times New Roman" w:hAnsi="Times New Roman"/>
                      <w:color w:val="auto"/>
                    </w:rPr>
                  </w:pPr>
                  <w:r>
                    <w:rPr>
                      <w:rFonts w:ascii="Times New Roman" w:hAnsi="Times New Roman"/>
                      <w:color w:val="auto"/>
                    </w:rPr>
                    <w:t>4</w:t>
                  </w:r>
                  <w:r>
                    <w:rPr>
                      <w:rFonts w:hint="eastAsia" w:ascii="Times New Roman" w:hAnsi="Times New Roman"/>
                      <w:color w:val="auto"/>
                    </w:rPr>
                    <w:t>0</w:t>
                  </w:r>
                  <w:r>
                    <w:rPr>
                      <w:rFonts w:ascii="Times New Roman" w:hAnsi="Times New Roman"/>
                      <w:color w:val="auto"/>
                    </w:rPr>
                    <w:t>.</w:t>
                  </w:r>
                  <w:r>
                    <w:rPr>
                      <w:rFonts w:hint="eastAsia" w:ascii="Times New Roman" w:hAnsi="Times New Roman"/>
                      <w:color w:val="auto"/>
                    </w:rPr>
                    <w:t>8</w:t>
                  </w:r>
                </w:p>
              </w:tc>
              <w:tc>
                <w:tcPr>
                  <w:tcW w:w="2512" w:type="dxa"/>
                  <w:vAlign w:val="center"/>
                </w:tcPr>
                <w:p>
                  <w:pPr>
                    <w:jc w:val="center"/>
                    <w:rPr>
                      <w:rFonts w:ascii="Times New Roman" w:hAnsi="Times New Roman"/>
                      <w:color w:val="auto"/>
                    </w:rPr>
                  </w:pPr>
                  <w:r>
                    <w:rPr>
                      <w:rFonts w:hint="eastAsia" w:ascii="Times New Roman" w:hAnsi="Times New Roman"/>
                      <w:color w:val="auto"/>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7" w:type="dxa"/>
                  <w:vAlign w:val="center"/>
                </w:tcPr>
                <w:p>
                  <w:pPr>
                    <w:jc w:val="center"/>
                    <w:rPr>
                      <w:rFonts w:ascii="Times New Roman" w:hAnsi="Times New Roman"/>
                      <w:color w:val="auto"/>
                    </w:rPr>
                  </w:pPr>
                  <w:r>
                    <w:rPr>
                      <w:rFonts w:ascii="Times New Roman" w:hAnsi="Times New Roman"/>
                      <w:color w:val="auto"/>
                    </w:rPr>
                    <w:t>35</w:t>
                  </w:r>
                </w:p>
              </w:tc>
              <w:tc>
                <w:tcPr>
                  <w:tcW w:w="2062" w:type="dxa"/>
                  <w:vAlign w:val="center"/>
                </w:tcPr>
                <w:p>
                  <w:pPr>
                    <w:jc w:val="center"/>
                    <w:rPr>
                      <w:rFonts w:ascii="Times New Roman" w:hAnsi="Times New Roman"/>
                      <w:color w:val="auto"/>
                    </w:rPr>
                  </w:pPr>
                  <w:r>
                    <w:rPr>
                      <w:rFonts w:ascii="Times New Roman" w:hAnsi="Times New Roman"/>
                      <w:color w:val="auto"/>
                    </w:rPr>
                    <w:t>4</w:t>
                  </w:r>
                  <w:r>
                    <w:rPr>
                      <w:rFonts w:hint="eastAsia" w:ascii="Times New Roman" w:hAnsi="Times New Roman"/>
                      <w:color w:val="auto"/>
                    </w:rPr>
                    <w:t>1.5</w:t>
                  </w:r>
                </w:p>
              </w:tc>
              <w:tc>
                <w:tcPr>
                  <w:tcW w:w="2512" w:type="dxa"/>
                  <w:vAlign w:val="center"/>
                </w:tcPr>
                <w:p>
                  <w:pPr>
                    <w:jc w:val="center"/>
                    <w:rPr>
                      <w:rFonts w:ascii="Times New Roman" w:hAnsi="Times New Roman"/>
                      <w:color w:val="auto"/>
                    </w:rPr>
                  </w:pPr>
                  <w:r>
                    <w:rPr>
                      <w:rFonts w:hint="eastAsia" w:ascii="Times New Roman" w:hAnsi="Times New Roman"/>
                      <w:color w:val="auto"/>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7" w:type="dxa"/>
                  <w:vAlign w:val="center"/>
                </w:tcPr>
                <w:p>
                  <w:pPr>
                    <w:jc w:val="center"/>
                    <w:rPr>
                      <w:rFonts w:ascii="Times New Roman" w:hAnsi="Times New Roman"/>
                      <w:color w:val="auto"/>
                    </w:rPr>
                  </w:pPr>
                  <w:r>
                    <w:rPr>
                      <w:rFonts w:ascii="Times New Roman" w:hAnsi="Times New Roman"/>
                      <w:color w:val="auto"/>
                    </w:rPr>
                    <w:t>40</w:t>
                  </w:r>
                </w:p>
              </w:tc>
              <w:tc>
                <w:tcPr>
                  <w:tcW w:w="2062" w:type="dxa"/>
                  <w:vAlign w:val="center"/>
                </w:tcPr>
                <w:p>
                  <w:pPr>
                    <w:jc w:val="center"/>
                    <w:rPr>
                      <w:rFonts w:ascii="Times New Roman" w:hAnsi="Times New Roman"/>
                      <w:color w:val="auto"/>
                    </w:rPr>
                  </w:pPr>
                  <w:r>
                    <w:rPr>
                      <w:rFonts w:ascii="Times New Roman" w:hAnsi="Times New Roman"/>
                      <w:color w:val="auto"/>
                    </w:rPr>
                    <w:t>4</w:t>
                  </w:r>
                  <w:r>
                    <w:rPr>
                      <w:rFonts w:hint="eastAsia" w:ascii="Times New Roman" w:hAnsi="Times New Roman"/>
                      <w:color w:val="auto"/>
                    </w:rPr>
                    <w:t>1.6</w:t>
                  </w:r>
                </w:p>
              </w:tc>
              <w:tc>
                <w:tcPr>
                  <w:tcW w:w="2512" w:type="dxa"/>
                  <w:vAlign w:val="center"/>
                </w:tcPr>
                <w:p>
                  <w:pPr>
                    <w:jc w:val="center"/>
                    <w:rPr>
                      <w:rFonts w:ascii="Times New Roman" w:hAnsi="Times New Roman"/>
                      <w:color w:val="auto"/>
                    </w:rPr>
                  </w:pPr>
                  <w:r>
                    <w:rPr>
                      <w:rFonts w:hint="eastAsia" w:ascii="Times New Roman" w:hAnsi="Times New Roman"/>
                      <w:color w:val="auto"/>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3597" w:type="dxa"/>
                  <w:vAlign w:val="center"/>
                </w:tcPr>
                <w:p>
                  <w:pPr>
                    <w:jc w:val="center"/>
                    <w:rPr>
                      <w:rFonts w:ascii="Times New Roman" w:hAnsi="Times New Roman"/>
                      <w:color w:val="auto"/>
                    </w:rPr>
                  </w:pPr>
                  <w:r>
                    <w:rPr>
                      <w:rFonts w:ascii="Times New Roman" w:hAnsi="Times New Roman"/>
                      <w:color w:val="auto"/>
                    </w:rPr>
                    <w:t>45</w:t>
                  </w:r>
                </w:p>
              </w:tc>
              <w:tc>
                <w:tcPr>
                  <w:tcW w:w="2062" w:type="dxa"/>
                  <w:vAlign w:val="center"/>
                </w:tcPr>
                <w:p>
                  <w:pPr>
                    <w:jc w:val="center"/>
                    <w:rPr>
                      <w:rFonts w:ascii="Times New Roman" w:hAnsi="Times New Roman"/>
                      <w:color w:val="auto"/>
                    </w:rPr>
                  </w:pPr>
                  <w:r>
                    <w:rPr>
                      <w:rFonts w:ascii="Times New Roman" w:hAnsi="Times New Roman"/>
                      <w:color w:val="auto"/>
                    </w:rPr>
                    <w:t>4</w:t>
                  </w:r>
                  <w:r>
                    <w:rPr>
                      <w:rFonts w:hint="eastAsia" w:ascii="Times New Roman" w:hAnsi="Times New Roman"/>
                      <w:color w:val="auto"/>
                    </w:rPr>
                    <w:t>1.4</w:t>
                  </w:r>
                </w:p>
              </w:tc>
              <w:tc>
                <w:tcPr>
                  <w:tcW w:w="2512" w:type="dxa"/>
                  <w:vAlign w:val="center"/>
                </w:tcPr>
                <w:p>
                  <w:pPr>
                    <w:jc w:val="center"/>
                    <w:rPr>
                      <w:rFonts w:ascii="Times New Roman" w:hAnsi="Times New Roman"/>
                      <w:color w:val="auto"/>
                    </w:rPr>
                  </w:pPr>
                  <w:r>
                    <w:rPr>
                      <w:rFonts w:hint="eastAsia" w:ascii="Times New Roman" w:hAnsi="Times New Roman"/>
                      <w:color w:val="auto"/>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7" w:type="dxa"/>
                  <w:vAlign w:val="center"/>
                </w:tcPr>
                <w:p>
                  <w:pPr>
                    <w:jc w:val="center"/>
                    <w:rPr>
                      <w:rFonts w:ascii="Times New Roman" w:hAnsi="Times New Roman"/>
                      <w:color w:val="auto"/>
                    </w:rPr>
                  </w:pPr>
                  <w:r>
                    <w:rPr>
                      <w:rFonts w:ascii="Times New Roman" w:hAnsi="Times New Roman"/>
                      <w:color w:val="auto"/>
                    </w:rPr>
                    <w:t>50</w:t>
                  </w:r>
                </w:p>
              </w:tc>
              <w:tc>
                <w:tcPr>
                  <w:tcW w:w="2062" w:type="dxa"/>
                  <w:vAlign w:val="center"/>
                </w:tcPr>
                <w:p>
                  <w:pPr>
                    <w:jc w:val="center"/>
                    <w:rPr>
                      <w:rFonts w:ascii="Times New Roman" w:hAnsi="Times New Roman"/>
                      <w:color w:val="auto"/>
                    </w:rPr>
                  </w:pPr>
                  <w:r>
                    <w:rPr>
                      <w:rFonts w:ascii="Times New Roman" w:hAnsi="Times New Roman"/>
                      <w:color w:val="auto"/>
                    </w:rPr>
                    <w:t>4</w:t>
                  </w:r>
                  <w:r>
                    <w:rPr>
                      <w:rFonts w:hint="eastAsia" w:ascii="Times New Roman" w:hAnsi="Times New Roman"/>
                      <w:color w:val="auto"/>
                    </w:rPr>
                    <w:t>1.2</w:t>
                  </w:r>
                </w:p>
              </w:tc>
              <w:tc>
                <w:tcPr>
                  <w:tcW w:w="2512" w:type="dxa"/>
                  <w:vAlign w:val="center"/>
                </w:tcPr>
                <w:p>
                  <w:pPr>
                    <w:jc w:val="center"/>
                    <w:rPr>
                      <w:rFonts w:ascii="Times New Roman" w:hAnsi="Times New Roman"/>
                      <w:color w:val="auto"/>
                    </w:rPr>
                  </w:pPr>
                  <w:r>
                    <w:rPr>
                      <w:rFonts w:hint="eastAsia" w:ascii="Times New Roman" w:hAnsi="Times New Roman"/>
                      <w:color w:val="auto"/>
                    </w:rPr>
                    <w:t>40.2</w:t>
                  </w:r>
                </w:p>
              </w:tc>
            </w:tr>
          </w:tbl>
          <w:p>
            <w:pPr>
              <w:spacing w:line="360" w:lineRule="auto"/>
              <w:ind w:firstLine="420"/>
              <w:rPr>
                <w:rFonts w:ascii="Times New Roman" w:hAnsi="Times New Roman"/>
                <w:color w:val="auto"/>
              </w:rPr>
            </w:pPr>
            <w:r>
              <w:rPr>
                <w:rFonts w:ascii="Times New Roman" w:hAnsi="Times New Roman"/>
                <w:color w:val="auto"/>
              </w:rPr>
              <w:t>从表7.</w:t>
            </w:r>
            <w:r>
              <w:rPr>
                <w:rFonts w:hint="eastAsia" w:ascii="Times New Roman" w:hAnsi="Times New Roman"/>
                <w:color w:val="auto"/>
              </w:rPr>
              <w:t>4</w:t>
            </w:r>
            <w:r>
              <w:rPr>
                <w:rFonts w:ascii="Times New Roman" w:hAnsi="Times New Roman"/>
                <w:color w:val="auto"/>
              </w:rPr>
              <w:t>可知，</w:t>
            </w:r>
            <w:r>
              <w:rPr>
                <w:rFonts w:hint="eastAsia" w:ascii="Times New Roman" w:hAnsi="Times New Roman"/>
                <w:color w:val="auto"/>
                <w:sz w:val="18"/>
                <w:szCs w:val="18"/>
              </w:rPr>
              <w:t>22</w:t>
            </w:r>
            <w:r>
              <w:rPr>
                <w:rFonts w:ascii="Times New Roman" w:hAnsi="Times New Roman"/>
                <w:color w:val="auto"/>
              </w:rPr>
              <w:t>0kV</w:t>
            </w:r>
            <w:r>
              <w:rPr>
                <w:rFonts w:hint="eastAsia" w:ascii="Times New Roman" w:hAnsi="Times New Roman"/>
                <w:color w:val="auto"/>
              </w:rPr>
              <w:t>成塔Ⅰ、Ⅱ回线路</w:t>
            </w:r>
            <w:r>
              <w:rPr>
                <w:rFonts w:ascii="Times New Roman" w:hAnsi="Times New Roman"/>
                <w:color w:val="auto"/>
              </w:rPr>
              <w:t>#</w:t>
            </w:r>
            <w:r>
              <w:rPr>
                <w:rFonts w:hint="eastAsia" w:ascii="Times New Roman" w:hAnsi="Times New Roman"/>
                <w:color w:val="auto"/>
              </w:rPr>
              <w:t>22</w:t>
            </w:r>
            <w:r>
              <w:rPr>
                <w:rFonts w:ascii="Times New Roman" w:hAnsi="Times New Roman"/>
                <w:color w:val="auto"/>
              </w:rPr>
              <w:t>~#</w:t>
            </w:r>
            <w:r>
              <w:rPr>
                <w:rFonts w:hint="eastAsia" w:ascii="Times New Roman" w:hAnsi="Times New Roman"/>
                <w:color w:val="auto"/>
              </w:rPr>
              <w:t>23</w:t>
            </w:r>
            <w:r>
              <w:rPr>
                <w:rFonts w:ascii="Times New Roman" w:hAnsi="Times New Roman"/>
                <w:color w:val="auto"/>
              </w:rPr>
              <w:t>塔间</w:t>
            </w:r>
            <w:r>
              <w:rPr>
                <w:rFonts w:hint="eastAsia" w:ascii="Times New Roman" w:hAnsi="Times New Roman"/>
                <w:color w:val="auto"/>
              </w:rPr>
              <w:t>检测</w:t>
            </w:r>
            <w:r>
              <w:rPr>
                <w:rFonts w:ascii="Times New Roman" w:hAnsi="Times New Roman"/>
                <w:color w:val="auto"/>
              </w:rPr>
              <w:t>断面处声环境质量检测结果昼间为4</w:t>
            </w:r>
            <w:r>
              <w:rPr>
                <w:rFonts w:hint="eastAsia" w:ascii="Times New Roman" w:hAnsi="Times New Roman"/>
                <w:color w:val="auto"/>
              </w:rPr>
              <w:t>0.7</w:t>
            </w:r>
            <w:r>
              <w:rPr>
                <w:rFonts w:ascii="Times New Roman" w:hAnsi="Times New Roman"/>
                <w:color w:val="auto"/>
              </w:rPr>
              <w:t>dB(A)~4</w:t>
            </w:r>
            <w:r>
              <w:rPr>
                <w:rFonts w:hint="eastAsia" w:ascii="Times New Roman" w:hAnsi="Times New Roman"/>
                <w:color w:val="auto"/>
              </w:rPr>
              <w:t>1.6</w:t>
            </w:r>
            <w:r>
              <w:rPr>
                <w:rFonts w:ascii="Times New Roman" w:hAnsi="Times New Roman"/>
                <w:color w:val="auto"/>
              </w:rPr>
              <w:t>dB(A)，夜间为</w:t>
            </w:r>
            <w:r>
              <w:rPr>
                <w:rFonts w:hint="eastAsia" w:ascii="Times New Roman" w:hAnsi="Times New Roman"/>
                <w:color w:val="auto"/>
              </w:rPr>
              <w:t>39.4</w:t>
            </w:r>
            <w:r>
              <w:rPr>
                <w:rFonts w:ascii="Times New Roman" w:hAnsi="Times New Roman"/>
                <w:color w:val="auto"/>
              </w:rPr>
              <w:t>dB(A)~4</w:t>
            </w:r>
            <w:r>
              <w:rPr>
                <w:rFonts w:hint="eastAsia" w:ascii="Times New Roman" w:hAnsi="Times New Roman"/>
                <w:color w:val="auto"/>
              </w:rPr>
              <w:t>0.2</w:t>
            </w:r>
            <w:r>
              <w:rPr>
                <w:rFonts w:ascii="Times New Roman" w:hAnsi="Times New Roman"/>
                <w:color w:val="auto"/>
              </w:rPr>
              <w:t>dB(A)</w:t>
            </w:r>
            <w:r>
              <w:rPr>
                <w:rFonts w:ascii="Times New Roman"/>
                <w:color w:val="auto"/>
              </w:rPr>
              <w:t>。均能够满足《声环境质量标准》（</w:t>
            </w:r>
            <w:r>
              <w:rPr>
                <w:rFonts w:ascii="Times New Roman" w:hAnsi="Times New Roman"/>
                <w:color w:val="auto"/>
              </w:rPr>
              <w:t>GB3096-2008</w:t>
            </w:r>
            <w:r>
              <w:rPr>
                <w:rFonts w:ascii="Times New Roman"/>
                <w:color w:val="auto"/>
              </w:rPr>
              <w:t>）中</w:t>
            </w:r>
            <w:r>
              <w:rPr>
                <w:rFonts w:ascii="Times New Roman" w:hAnsi="Times New Roman"/>
                <w:color w:val="auto"/>
              </w:rPr>
              <w:t>1</w:t>
            </w:r>
            <w:r>
              <w:rPr>
                <w:rFonts w:ascii="Times New Roman"/>
                <w:color w:val="auto"/>
              </w:rPr>
              <w:t>类标准要求。</w:t>
            </w:r>
          </w:p>
          <w:p>
            <w:pPr>
              <w:tabs>
                <w:tab w:val="left" w:pos="510"/>
              </w:tabs>
              <w:adjustRightInd w:val="0"/>
              <w:spacing w:line="360" w:lineRule="auto"/>
              <w:ind w:firstLine="411" w:firstLineChars="196"/>
              <w:jc w:val="left"/>
              <w:textAlignment w:val="baseline"/>
              <w:rPr>
                <w:rFonts w:hint="eastAsia" w:ascii="Times New Roman" w:hAnsi="Times New Roman"/>
                <w:color w:val="auto"/>
              </w:rPr>
            </w:pPr>
            <w:r>
              <w:rPr>
                <w:rFonts w:ascii="Times New Roman"/>
                <w:color w:val="auto"/>
              </w:rPr>
              <w:t>从监测结果可知，线路噪声贡献值很小，对沿线声环境影响较小。</w:t>
            </w:r>
            <w:r>
              <w:rPr>
                <w:rFonts w:hint="eastAsia" w:ascii="Times New Roman" w:hAnsi="Times New Roman"/>
                <w:color w:val="auto"/>
              </w:rPr>
              <w:t>线路经过或邻近环境保护目标时，</w:t>
            </w:r>
            <w:r>
              <w:rPr>
                <w:rFonts w:ascii="Times New Roman" w:hAnsi="Times New Roman"/>
                <w:color w:val="auto"/>
              </w:rPr>
              <w:t>声环境质量</w:t>
            </w:r>
            <w:r>
              <w:rPr>
                <w:rFonts w:ascii="Times New Roman"/>
                <w:color w:val="auto"/>
              </w:rPr>
              <w:t>能够满足《声环境质量标准》（</w:t>
            </w:r>
            <w:r>
              <w:rPr>
                <w:rFonts w:ascii="Times New Roman" w:hAnsi="Times New Roman"/>
                <w:color w:val="auto"/>
              </w:rPr>
              <w:t>GB3096-2008</w:t>
            </w:r>
            <w:r>
              <w:rPr>
                <w:rFonts w:ascii="Times New Roman"/>
                <w:color w:val="auto"/>
              </w:rPr>
              <w:t>）中</w:t>
            </w:r>
            <w:r>
              <w:rPr>
                <w:rFonts w:hint="eastAsia" w:ascii="Times New Roman"/>
                <w:color w:val="auto"/>
              </w:rPr>
              <w:t>的</w:t>
            </w:r>
            <w:r>
              <w:rPr>
                <w:rFonts w:ascii="Times New Roman" w:hAnsi="Times New Roman"/>
                <w:color w:val="auto"/>
              </w:rPr>
              <w:t>1</w:t>
            </w:r>
            <w:r>
              <w:rPr>
                <w:rFonts w:ascii="Times New Roman"/>
                <w:color w:val="auto"/>
              </w:rPr>
              <w:t>类标准要求。输电线路产生的噪声主要与线路电压等级、架设方式等因素有关，类比输电线路与本工程线路电压等级、架设方式基本一致，在设计施工阶段，可通过提高导线加工工艺使导线表面光滑、提高导线对地高度等措施减少电晕放电，以降低可听噪声。因此，类比输电线路的噪声监测结果能够较好的反应本工程新建线路运行后产生的噪声影响。</w:t>
            </w:r>
          </w:p>
          <w:p>
            <w:pPr>
              <w:spacing w:line="360" w:lineRule="auto"/>
              <w:rPr>
                <w:rFonts w:ascii="Times New Roman" w:hAnsi="Times New Roman"/>
                <w:b/>
                <w:color w:val="auto"/>
              </w:rPr>
            </w:pPr>
            <w:r>
              <w:rPr>
                <w:rFonts w:ascii="Times New Roman" w:hAnsi="Times New Roman"/>
                <w:b/>
                <w:color w:val="auto"/>
              </w:rPr>
              <w:t>7.2.</w:t>
            </w:r>
            <w:r>
              <w:rPr>
                <w:rFonts w:hint="eastAsia" w:ascii="Times New Roman" w:hAnsi="Times New Roman"/>
                <w:b/>
                <w:color w:val="auto"/>
              </w:rPr>
              <w:t>3</w:t>
            </w:r>
            <w:r>
              <w:rPr>
                <w:rFonts w:ascii="Times New Roman" w:hAnsi="Times New Roman"/>
                <w:b/>
                <w:color w:val="auto"/>
              </w:rPr>
              <w:t xml:space="preserve"> 废水排放分析</w:t>
            </w:r>
          </w:p>
          <w:p>
            <w:pPr>
              <w:spacing w:line="360" w:lineRule="auto"/>
              <w:ind w:firstLine="420" w:firstLineChars="200"/>
              <w:rPr>
                <w:rFonts w:ascii="Times New Roman" w:hAnsi="Times New Roman"/>
                <w:color w:val="auto"/>
              </w:rPr>
            </w:pPr>
            <w:r>
              <w:rPr>
                <w:rFonts w:ascii="Times New Roman" w:hAnsi="Times New Roman"/>
                <w:color w:val="auto"/>
              </w:rPr>
              <w:t>220kV架空线路运行期无废水排放。</w:t>
            </w:r>
          </w:p>
          <w:p>
            <w:pPr>
              <w:spacing w:line="360" w:lineRule="auto"/>
              <w:rPr>
                <w:rFonts w:ascii="Times New Roman" w:hAnsi="Times New Roman"/>
                <w:b/>
                <w:color w:val="auto"/>
              </w:rPr>
            </w:pPr>
            <w:r>
              <w:rPr>
                <w:rFonts w:ascii="Times New Roman" w:hAnsi="Times New Roman"/>
                <w:b/>
                <w:color w:val="auto"/>
              </w:rPr>
              <w:t>7.2.</w:t>
            </w:r>
            <w:r>
              <w:rPr>
                <w:rFonts w:hint="eastAsia" w:ascii="Times New Roman" w:hAnsi="Times New Roman"/>
                <w:b/>
                <w:color w:val="auto"/>
              </w:rPr>
              <w:t>4</w:t>
            </w:r>
            <w:r>
              <w:rPr>
                <w:rFonts w:ascii="Times New Roman" w:hAnsi="Times New Roman"/>
                <w:b/>
                <w:color w:val="auto"/>
              </w:rPr>
              <w:t xml:space="preserve"> 固体废物环境影响分析</w:t>
            </w:r>
          </w:p>
          <w:p>
            <w:pPr>
              <w:spacing w:line="360" w:lineRule="auto"/>
              <w:ind w:firstLine="420" w:firstLineChars="200"/>
              <w:rPr>
                <w:rFonts w:hint="eastAsia" w:ascii="Times New Roman" w:hAnsi="Times New Roman"/>
                <w:color w:val="auto"/>
              </w:rPr>
            </w:pPr>
            <w:r>
              <w:rPr>
                <w:rFonts w:ascii="Times New Roman" w:hAnsi="Times New Roman"/>
                <w:color w:val="auto"/>
              </w:rPr>
              <w:t>220kV架空线路运行期无固体废物</w:t>
            </w:r>
            <w:r>
              <w:rPr>
                <w:rFonts w:hint="eastAsia" w:ascii="Times New Roman" w:hAnsi="Times New Roman"/>
                <w:color w:val="auto"/>
              </w:rPr>
              <w:t>产生。</w:t>
            </w:r>
          </w:p>
          <w:p>
            <w:pPr>
              <w:spacing w:line="360" w:lineRule="auto"/>
              <w:rPr>
                <w:rFonts w:ascii="Times New Roman" w:hAnsi="Times New Roman"/>
                <w:b/>
                <w:color w:val="auto"/>
              </w:rPr>
            </w:pPr>
            <w:r>
              <w:rPr>
                <w:rFonts w:ascii="Times New Roman" w:hAnsi="Times New Roman"/>
                <w:b/>
                <w:color w:val="auto"/>
              </w:rPr>
              <w:t>7.2.</w:t>
            </w:r>
            <w:r>
              <w:rPr>
                <w:rFonts w:hint="eastAsia" w:ascii="Times New Roman" w:hAnsi="Times New Roman"/>
                <w:b/>
                <w:color w:val="auto"/>
              </w:rPr>
              <w:t>5</w:t>
            </w:r>
            <w:r>
              <w:rPr>
                <w:rFonts w:ascii="Times New Roman" w:hAnsi="Times New Roman"/>
                <w:b/>
                <w:color w:val="auto"/>
              </w:rPr>
              <w:t>环境空气影响分析</w:t>
            </w:r>
          </w:p>
          <w:p>
            <w:pPr>
              <w:spacing w:line="360" w:lineRule="auto"/>
              <w:ind w:firstLine="420" w:firstLineChars="200"/>
              <w:rPr>
                <w:rFonts w:hint="eastAsia" w:ascii="Times New Roman" w:hAnsi="Times New Roman"/>
                <w:color w:val="auto"/>
              </w:rPr>
            </w:pPr>
            <w:r>
              <w:rPr>
                <w:rFonts w:hint="eastAsia" w:ascii="Times New Roman" w:hAnsi="Times New Roman"/>
                <w:color w:val="auto"/>
              </w:rPr>
              <w:t>22</w:t>
            </w:r>
            <w:r>
              <w:rPr>
                <w:rFonts w:ascii="Times New Roman" w:hAnsi="Times New Roman"/>
                <w:color w:val="auto"/>
              </w:rPr>
              <w:t>0kV</w:t>
            </w:r>
            <w:r>
              <w:rPr>
                <w:rFonts w:hint="eastAsia" w:ascii="Times New Roman" w:hAnsi="Times New Roman"/>
                <w:color w:val="auto"/>
              </w:rPr>
              <w:t>架空线路</w:t>
            </w:r>
            <w:r>
              <w:rPr>
                <w:rFonts w:ascii="Times New Roman" w:hAnsi="Times New Roman"/>
                <w:color w:val="auto"/>
              </w:rPr>
              <w:t>运行，不产生环境空气污染物。</w:t>
            </w:r>
          </w:p>
          <w:p>
            <w:pPr>
              <w:pStyle w:val="23"/>
              <w:spacing w:line="360" w:lineRule="auto"/>
              <w:ind w:firstLine="0"/>
              <w:rPr>
                <w:rFonts w:ascii="Times New Roman"/>
                <w:b/>
                <w:color w:val="auto"/>
                <w:kern w:val="2"/>
                <w:sz w:val="21"/>
                <w:szCs w:val="21"/>
              </w:rPr>
            </w:pPr>
            <w:r>
              <w:rPr>
                <w:rFonts w:ascii="Times New Roman"/>
                <w:b/>
                <w:color w:val="auto"/>
                <w:kern w:val="2"/>
                <w:sz w:val="21"/>
                <w:szCs w:val="21"/>
              </w:rPr>
              <w:t>7.2.</w:t>
            </w:r>
            <w:r>
              <w:rPr>
                <w:rFonts w:hint="eastAsia" w:ascii="Times New Roman"/>
                <w:b/>
                <w:color w:val="auto"/>
                <w:kern w:val="2"/>
                <w:sz w:val="21"/>
                <w:szCs w:val="21"/>
              </w:rPr>
              <w:t>6</w:t>
            </w:r>
            <w:r>
              <w:rPr>
                <w:rFonts w:ascii="Times New Roman"/>
                <w:b/>
                <w:color w:val="auto"/>
                <w:kern w:val="2"/>
                <w:sz w:val="21"/>
                <w:szCs w:val="21"/>
              </w:rPr>
              <w:t xml:space="preserve"> </w:t>
            </w:r>
            <w:r>
              <w:rPr>
                <w:rFonts w:hint="eastAsia" w:ascii="Times New Roman"/>
                <w:b/>
                <w:color w:val="auto"/>
                <w:kern w:val="2"/>
                <w:sz w:val="21"/>
                <w:szCs w:val="21"/>
              </w:rPr>
              <w:t>输电线路的电磁环境影响评价</w:t>
            </w:r>
          </w:p>
          <w:p>
            <w:pPr>
              <w:spacing w:line="360" w:lineRule="auto"/>
              <w:ind w:firstLine="420" w:firstLineChars="200"/>
              <w:rPr>
                <w:rFonts w:hint="eastAsia" w:hAnsi="宋体"/>
                <w:snapToGrid w:val="0"/>
                <w:color w:val="auto"/>
                <w:kern w:val="0"/>
              </w:rPr>
            </w:pPr>
            <w:r>
              <w:rPr>
                <w:rFonts w:hint="eastAsia" w:hAnsi="宋体"/>
                <w:snapToGrid w:val="0"/>
                <w:color w:val="auto"/>
                <w:kern w:val="0"/>
              </w:rPr>
              <w:t>输电线路</w:t>
            </w:r>
            <w:r>
              <w:rPr>
                <w:rFonts w:hAnsi="宋体"/>
                <w:snapToGrid w:val="0"/>
                <w:color w:val="auto"/>
                <w:kern w:val="0"/>
              </w:rPr>
              <w:t>运行</w:t>
            </w:r>
            <w:r>
              <w:rPr>
                <w:rFonts w:hint="eastAsia" w:hAnsi="宋体"/>
                <w:snapToGrid w:val="0"/>
                <w:color w:val="auto"/>
                <w:kern w:val="0"/>
              </w:rPr>
              <w:t>会</w:t>
            </w:r>
            <w:r>
              <w:rPr>
                <w:rFonts w:hAnsi="宋体"/>
                <w:snapToGrid w:val="0"/>
                <w:color w:val="auto"/>
                <w:kern w:val="0"/>
              </w:rPr>
              <w:t>产生</w:t>
            </w:r>
            <w:r>
              <w:rPr>
                <w:rFonts w:hint="eastAsia" w:hAnsi="宋体"/>
                <w:snapToGrid w:val="0"/>
                <w:color w:val="auto"/>
                <w:kern w:val="0"/>
              </w:rPr>
              <w:t>工频电场、工频磁场</w:t>
            </w:r>
            <w:r>
              <w:rPr>
                <w:rFonts w:hAnsi="宋体"/>
                <w:snapToGrid w:val="0"/>
                <w:color w:val="auto"/>
                <w:kern w:val="0"/>
              </w:rPr>
              <w:t>。</w:t>
            </w:r>
          </w:p>
          <w:p>
            <w:pPr>
              <w:spacing w:line="360" w:lineRule="auto"/>
              <w:ind w:firstLine="420" w:firstLineChars="200"/>
              <w:rPr>
                <w:rFonts w:ascii="Times New Roman" w:hAnsi="Times New Roman"/>
                <w:color w:val="auto"/>
              </w:rPr>
            </w:pPr>
            <w:r>
              <w:rPr>
                <w:rFonts w:hint="eastAsia" w:ascii="Times New Roman" w:hAnsi="Times New Roman"/>
                <w:color w:val="auto"/>
              </w:rPr>
              <w:t>由现状监测结果可知：拟建线路附近环境保护目标处的</w:t>
            </w:r>
            <w:r>
              <w:rPr>
                <w:rFonts w:ascii="Times New Roman" w:hAnsi="Times New Roman"/>
                <w:color w:val="auto"/>
              </w:rPr>
              <w:t>工频电场强度、工频磁感应强度均</w:t>
            </w:r>
            <w:r>
              <w:rPr>
                <w:rFonts w:hint="eastAsia" w:ascii="Times New Roman" w:hAnsi="Times New Roman"/>
                <w:color w:val="auto"/>
              </w:rPr>
              <w:t>小于《电磁环境控制限值》（GB 8702-2014）</w:t>
            </w:r>
            <w:r>
              <w:rPr>
                <w:rFonts w:ascii="Times New Roman" w:hAnsi="Times New Roman"/>
                <w:color w:val="auto"/>
              </w:rPr>
              <w:t>中</w:t>
            </w:r>
            <w:r>
              <w:rPr>
                <w:rFonts w:hint="eastAsia" w:ascii="Times New Roman" w:hAnsi="Times New Roman"/>
                <w:color w:val="auto"/>
              </w:rPr>
              <w:t>“公众曝露控制限值”规定的工频电场强度4000V/m（即4kV/m）、工频磁感应强度100</w:t>
            </w:r>
            <w:r>
              <w:rPr>
                <w:rFonts w:ascii="Times New Roman" w:hAnsi="Times New Roman"/>
                <w:color w:val="auto"/>
              </w:rPr>
              <w:t>μ</w:t>
            </w:r>
            <w:r>
              <w:rPr>
                <w:rFonts w:hint="eastAsia" w:ascii="Times New Roman" w:hAnsi="Times New Roman"/>
                <w:color w:val="auto"/>
              </w:rPr>
              <w:t>T的控制限值</w:t>
            </w:r>
            <w:r>
              <w:rPr>
                <w:rFonts w:ascii="Times New Roman" w:hAnsi="Times New Roman"/>
                <w:color w:val="auto"/>
              </w:rPr>
              <w:t>。</w:t>
            </w:r>
          </w:p>
          <w:p>
            <w:pPr>
              <w:spacing w:line="360" w:lineRule="auto"/>
              <w:ind w:firstLine="420" w:firstLineChars="200"/>
              <w:rPr>
                <w:rFonts w:hAnsi="宋体"/>
                <w:snapToGrid w:val="0"/>
                <w:color w:val="auto"/>
                <w:kern w:val="0"/>
              </w:rPr>
            </w:pPr>
            <w:r>
              <w:rPr>
                <w:rFonts w:ascii="Times New Roman" w:hAnsi="Times New Roman"/>
                <w:color w:val="auto"/>
              </w:rPr>
              <w:t>通过</w:t>
            </w:r>
            <w:r>
              <w:rPr>
                <w:rFonts w:hint="eastAsia" w:ascii="Times New Roman" w:hAnsi="Times New Roman"/>
                <w:color w:val="auto"/>
              </w:rPr>
              <w:t>类比</w:t>
            </w:r>
            <w:r>
              <w:rPr>
                <w:rFonts w:ascii="Times New Roman" w:hAnsi="Times New Roman"/>
                <w:color w:val="auto"/>
              </w:rPr>
              <w:t>监测</w:t>
            </w:r>
            <w:r>
              <w:rPr>
                <w:rFonts w:hint="eastAsia" w:ascii="Times New Roman" w:hAnsi="Times New Roman"/>
                <w:color w:val="auto"/>
              </w:rPr>
              <w:t>和理论</w:t>
            </w:r>
            <w:r>
              <w:rPr>
                <w:rFonts w:ascii="Times New Roman" w:hAnsi="Times New Roman"/>
                <w:color w:val="auto"/>
              </w:rPr>
              <w:t>预测结果</w:t>
            </w:r>
            <w:r>
              <w:rPr>
                <w:rFonts w:hint="eastAsia" w:ascii="Times New Roman" w:hAnsi="Times New Roman"/>
                <w:color w:val="auto"/>
              </w:rPr>
              <w:t>分析</w:t>
            </w:r>
            <w:r>
              <w:rPr>
                <w:rFonts w:ascii="Times New Roman" w:hAnsi="Times New Roman"/>
                <w:color w:val="auto"/>
              </w:rPr>
              <w:t>表明</w:t>
            </w:r>
            <w:r>
              <w:rPr>
                <w:rFonts w:hint="eastAsia" w:ascii="Times New Roman" w:hAnsi="Times New Roman"/>
                <w:color w:val="auto"/>
              </w:rPr>
              <w:t>，220</w:t>
            </w:r>
            <w:r>
              <w:rPr>
                <w:rFonts w:ascii="Times New Roman" w:hAnsi="Times New Roman"/>
                <w:color w:val="auto"/>
              </w:rPr>
              <w:t>kV</w:t>
            </w:r>
            <w:r>
              <w:rPr>
                <w:rFonts w:hint="eastAsia" w:ascii="Times New Roman" w:hAnsi="Times New Roman"/>
                <w:color w:val="auto"/>
              </w:rPr>
              <w:t>架空输电线路导线对地高度为1</w:t>
            </w:r>
            <w:r>
              <w:rPr>
                <w:rFonts w:hint="eastAsia" w:ascii="Times New Roman" w:hAnsi="Times New Roman"/>
                <w:color w:val="auto"/>
                <w:lang w:val="en-US" w:eastAsia="zh-CN"/>
              </w:rPr>
              <w:t>1</w:t>
            </w:r>
            <w:r>
              <w:rPr>
                <w:rFonts w:ascii="Times New Roman" w:hAnsi="Times New Roman"/>
                <w:color w:val="auto"/>
              </w:rPr>
              <w:t>m</w:t>
            </w:r>
            <w:r>
              <w:rPr>
                <w:rFonts w:hint="eastAsia" w:ascii="Times New Roman" w:hAnsi="Times New Roman"/>
                <w:color w:val="auto"/>
              </w:rPr>
              <w:t>时，</w:t>
            </w:r>
            <w:r>
              <w:rPr>
                <w:rFonts w:hint="eastAsia" w:ascii="Times New Roman" w:hAnsi="Times New Roman"/>
                <w:color w:val="auto"/>
                <w:lang w:eastAsia="zh-CN"/>
              </w:rPr>
              <w:t>不论排列方式如何，</w:t>
            </w:r>
            <w:r>
              <w:rPr>
                <w:rFonts w:ascii="Times New Roman" w:hAnsi="Times New Roman"/>
                <w:color w:val="auto"/>
              </w:rPr>
              <w:t>在地面1.5m高度处</w:t>
            </w:r>
            <w:r>
              <w:rPr>
                <w:rFonts w:hint="eastAsia" w:ascii="Times New Roman" w:hAnsi="Times New Roman"/>
                <w:color w:val="auto"/>
              </w:rPr>
              <w:t>产生的工频电场强度、工频磁感应强度均小于《电磁环境控制限值》（GB 8702-2014）中规定的工频电场强度、工频磁感应强度分别满足4kV/m（公众曝露控制限值），10kV/m（架空线路经过耕地、林地、道路等场所时）、100μT控制标准的要求。</w:t>
            </w:r>
            <w:r>
              <w:rPr>
                <w:rFonts w:hint="eastAsia" w:ascii="Times New Roman" w:hAnsi="Times New Roman"/>
                <w:color w:val="auto"/>
                <w:lang w:eastAsia="zh-CN"/>
              </w:rPr>
              <w:t>当导线对地高度</w:t>
            </w:r>
            <w:r>
              <w:rPr>
                <w:rFonts w:hint="eastAsia" w:ascii="Times New Roman" w:hAnsi="Times New Roman"/>
                <w:color w:val="auto"/>
              </w:rPr>
              <w:t>为1</w:t>
            </w:r>
            <w:r>
              <w:rPr>
                <w:rFonts w:hint="eastAsia" w:ascii="Times New Roman" w:hAnsi="Times New Roman"/>
                <w:color w:val="auto"/>
                <w:lang w:val="en-US" w:eastAsia="zh-CN"/>
              </w:rPr>
              <w:t>9</w:t>
            </w:r>
            <w:r>
              <w:rPr>
                <w:rFonts w:hint="eastAsia" w:ascii="Times New Roman" w:hAnsi="Times New Roman"/>
                <w:color w:val="auto"/>
              </w:rPr>
              <w:t>m，线路</w:t>
            </w:r>
            <w:r>
              <w:rPr>
                <w:rFonts w:hint="eastAsia" w:ascii="Times New Roman" w:hAnsi="Times New Roman"/>
                <w:color w:val="auto"/>
                <w:lang w:eastAsia="zh-CN"/>
              </w:rPr>
              <w:t>跨越民房及线路</w:t>
            </w:r>
            <w:r>
              <w:rPr>
                <w:rFonts w:hint="eastAsia" w:ascii="Times New Roman" w:hAnsi="Times New Roman"/>
                <w:color w:val="auto"/>
              </w:rPr>
              <w:t>边导线外2m处有民房时，</w:t>
            </w:r>
            <w:r>
              <w:rPr>
                <w:rFonts w:hint="eastAsia" w:ascii="Times New Roman" w:hAnsi="Times New Roman"/>
                <w:color w:val="auto"/>
                <w:lang w:eastAsia="zh-CN"/>
              </w:rPr>
              <w:t>不论</w:t>
            </w:r>
            <w:r>
              <w:rPr>
                <w:rFonts w:hint="eastAsia" w:ascii="Times New Roman" w:hAnsi="Times New Roman"/>
                <w:color w:val="auto"/>
              </w:rPr>
              <w:t>排列方式如何，民房的一层、二层、三层</w:t>
            </w:r>
            <w:r>
              <w:rPr>
                <w:rFonts w:hint="eastAsia" w:ascii="Times New Roman" w:hAnsi="Times New Roman"/>
                <w:color w:val="auto"/>
                <w:lang w:eastAsia="zh-CN"/>
              </w:rPr>
              <w:t>及四层楼顶</w:t>
            </w:r>
            <w:r>
              <w:rPr>
                <w:rFonts w:hint="eastAsia" w:ascii="Times New Roman" w:hAnsi="Times New Roman"/>
                <w:color w:val="auto"/>
              </w:rPr>
              <w:t>处</w:t>
            </w:r>
            <w:r>
              <w:rPr>
                <w:rFonts w:hint="eastAsia" w:ascii="Times New Roman" w:hAnsi="Times New Roman"/>
                <w:color w:val="auto"/>
                <w:lang w:eastAsia="zh-CN"/>
              </w:rPr>
              <w:t>的</w:t>
            </w:r>
            <w:r>
              <w:rPr>
                <w:rFonts w:hint="eastAsia" w:ascii="Times New Roman" w:hAnsi="Times New Roman"/>
                <w:color w:val="auto"/>
              </w:rPr>
              <w:t>工频电场强度、工频磁感应强度均能满足4kV/m的标准</w:t>
            </w:r>
            <w:r>
              <w:rPr>
                <w:rFonts w:hint="eastAsia" w:ascii="Times New Roman" w:hAnsi="Times New Roman"/>
                <w:color w:val="auto"/>
                <w:lang w:eastAsia="zh-CN"/>
              </w:rPr>
              <w:t>限值要求</w:t>
            </w:r>
            <w:r>
              <w:rPr>
                <w:rFonts w:hint="eastAsia" w:ascii="Times New Roman" w:hAnsi="Times New Roman"/>
                <w:color w:val="auto"/>
              </w:rPr>
              <w:t>。</w:t>
            </w:r>
          </w:p>
          <w:p>
            <w:pPr>
              <w:spacing w:line="360" w:lineRule="auto"/>
              <w:ind w:firstLine="420" w:firstLineChars="200"/>
              <w:rPr>
                <w:rFonts w:hint="eastAsia" w:ascii="Times New Roman" w:hAnsi="Times New Roman"/>
                <w:color w:val="auto"/>
                <w:szCs w:val="28"/>
              </w:rPr>
            </w:pPr>
            <w:r>
              <w:rPr>
                <w:rFonts w:hint="eastAsia" w:ascii="Times New Roman" w:hAnsi="Times New Roman"/>
                <w:color w:val="auto"/>
                <w:szCs w:val="28"/>
              </w:rPr>
              <w:t>详见变电站和架空线路电磁环境影响见专项评价部分。</w:t>
            </w:r>
          </w:p>
          <w:p>
            <w:pPr>
              <w:pStyle w:val="2"/>
              <w:rPr>
                <w:rFonts w:hint="eastAsia" w:ascii="Times New Roman" w:hAnsi="Times New Roman"/>
                <w:color w:val="auto"/>
                <w:szCs w:val="28"/>
              </w:rPr>
            </w:pPr>
          </w:p>
          <w:p>
            <w:pPr>
              <w:pStyle w:val="3"/>
              <w:rPr>
                <w:rFonts w:hint="eastAsia" w:ascii="Times New Roman" w:hAnsi="Times New Roman"/>
                <w:color w:val="auto"/>
                <w:szCs w:val="28"/>
              </w:rPr>
            </w:pPr>
          </w:p>
          <w:p>
            <w:pPr>
              <w:rPr>
                <w:rFonts w:hint="eastAsia" w:ascii="Times New Roman" w:hAnsi="Times New Roman"/>
                <w:color w:val="auto"/>
                <w:szCs w:val="28"/>
              </w:rPr>
            </w:pPr>
          </w:p>
          <w:p>
            <w:pPr>
              <w:pStyle w:val="2"/>
              <w:rPr>
                <w:rFonts w:hint="default" w:eastAsia="宋体"/>
                <w:color w:val="auto"/>
                <w:lang w:val="en-US" w:eastAsia="zh-CN"/>
              </w:rPr>
            </w:pPr>
            <w:r>
              <w:rPr>
                <w:rFonts w:hint="eastAsia"/>
                <w:color w:val="auto"/>
                <w:lang w:val="en-US" w:eastAsia="zh-CN"/>
              </w:rPr>
              <w:t>Yi</w:t>
            </w:r>
            <w:r>
              <w:rPr>
                <w:rFonts w:hint="default"/>
                <w:color w:val="auto"/>
                <w:lang w:val="en-US" w:eastAsia="zh-CN"/>
              </w:rPr>
              <w:t>’</w:t>
            </w:r>
            <w:r>
              <w:rPr>
                <w:rFonts w:hint="eastAsia"/>
                <w:color w:val="auto"/>
                <w:lang w:val="en-US" w:eastAsia="zh-CN"/>
              </w:rPr>
              <w:t>ji</w:t>
            </w:r>
          </w:p>
          <w:p>
            <w:pPr>
              <w:rPr>
                <w:rFonts w:hint="eastAsia" w:ascii="Times New Roman" w:hAnsi="Times New Roman"/>
                <w:color w:val="auto"/>
                <w:szCs w:val="28"/>
              </w:rPr>
            </w:pPr>
          </w:p>
          <w:p>
            <w:pPr>
              <w:pStyle w:val="2"/>
              <w:rPr>
                <w:rFonts w:hint="eastAsia"/>
                <w:color w:val="auto"/>
              </w:rPr>
            </w:pPr>
          </w:p>
          <w:p>
            <w:pPr>
              <w:spacing w:line="360" w:lineRule="auto"/>
              <w:ind w:firstLine="420" w:firstLineChars="200"/>
              <w:rPr>
                <w:rFonts w:ascii="Times New Roman" w:hAnsi="Times New Roman"/>
                <w:color w:val="auto"/>
              </w:rPr>
            </w:pPr>
          </w:p>
        </w:tc>
      </w:tr>
    </w:tbl>
    <w:p>
      <w:pPr>
        <w:pStyle w:val="6"/>
        <w:spacing w:before="0" w:after="0" w:line="360" w:lineRule="auto"/>
        <w:rPr>
          <w:color w:val="auto"/>
          <w:sz w:val="28"/>
          <w:szCs w:val="28"/>
        </w:rPr>
      </w:pPr>
      <w:bookmarkStart w:id="35" w:name="_Toc418358646"/>
      <w:bookmarkStart w:id="36" w:name="_Toc522457754"/>
      <w:r>
        <w:rPr>
          <w:color w:val="auto"/>
          <w:sz w:val="28"/>
          <w:szCs w:val="28"/>
        </w:rPr>
        <w:t>8建设项目拟采取的防治措施及预期治理效果</w:t>
      </w:r>
      <w:bookmarkEnd w:id="35"/>
      <w:bookmarkEnd w:id="36"/>
    </w:p>
    <w:tbl>
      <w:tblPr>
        <w:tblStyle w:val="50"/>
        <w:tblW w:w="9251" w:type="dxa"/>
        <w:jc w:val="center"/>
        <w:tblInd w:w="0" w:type="dxa"/>
        <w:tblLayout w:type="fixed"/>
        <w:tblCellMar>
          <w:top w:w="0" w:type="dxa"/>
          <w:left w:w="108" w:type="dxa"/>
          <w:bottom w:w="0" w:type="dxa"/>
          <w:right w:w="108" w:type="dxa"/>
        </w:tblCellMar>
      </w:tblPr>
      <w:tblGrid>
        <w:gridCol w:w="1252"/>
        <w:gridCol w:w="1439"/>
        <w:gridCol w:w="1440"/>
        <w:gridCol w:w="2760"/>
        <w:gridCol w:w="2360"/>
      </w:tblGrid>
      <w:tr>
        <w:tblPrEx>
          <w:tblLayout w:type="fixed"/>
          <w:tblCellMar>
            <w:top w:w="0" w:type="dxa"/>
            <w:left w:w="108" w:type="dxa"/>
            <w:bottom w:w="0" w:type="dxa"/>
            <w:right w:w="108" w:type="dxa"/>
          </w:tblCellMar>
        </w:tblPrEx>
        <w:trPr>
          <w:cantSplit/>
          <w:trHeight w:val="23" w:hRule="atLeast"/>
          <w:jc w:val="center"/>
        </w:trPr>
        <w:tc>
          <w:tcPr>
            <w:tcW w:w="125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bCs/>
                <w:color w:val="auto"/>
              </w:rPr>
            </w:pPr>
            <w:r>
              <w:rPr>
                <w:rFonts w:ascii="Times New Roman" w:hAnsi="Times New Roman"/>
                <w:b/>
                <w:bCs/>
                <w:color w:val="auto"/>
              </w:rPr>
              <w:t>内容类型</w:t>
            </w:r>
          </w:p>
        </w:tc>
        <w:tc>
          <w:tcPr>
            <w:tcW w:w="1439" w:type="dxa"/>
            <w:tcBorders>
              <w:top w:val="single" w:color="auto" w:sz="6" w:space="0"/>
              <w:left w:val="nil"/>
              <w:bottom w:val="single" w:color="auto" w:sz="6" w:space="0"/>
              <w:right w:val="single" w:color="auto" w:sz="6" w:space="0"/>
            </w:tcBorders>
            <w:vAlign w:val="center"/>
          </w:tcPr>
          <w:p>
            <w:pPr>
              <w:jc w:val="center"/>
              <w:rPr>
                <w:rFonts w:ascii="Times New Roman" w:hAnsi="Times New Roman"/>
                <w:b/>
                <w:bCs/>
                <w:color w:val="auto"/>
              </w:rPr>
            </w:pPr>
            <w:r>
              <w:rPr>
                <w:rFonts w:ascii="Times New Roman" w:hAnsi="Times New Roman"/>
                <w:b/>
                <w:bCs/>
                <w:color w:val="auto"/>
              </w:rPr>
              <w:t>排放源（编号）</w:t>
            </w:r>
          </w:p>
        </w:tc>
        <w:tc>
          <w:tcPr>
            <w:tcW w:w="1440" w:type="dxa"/>
            <w:tcBorders>
              <w:top w:val="single" w:color="auto" w:sz="6" w:space="0"/>
              <w:left w:val="nil"/>
              <w:bottom w:val="single" w:color="auto" w:sz="6" w:space="0"/>
              <w:right w:val="single" w:color="auto" w:sz="6" w:space="0"/>
            </w:tcBorders>
            <w:vAlign w:val="center"/>
          </w:tcPr>
          <w:p>
            <w:pPr>
              <w:jc w:val="center"/>
              <w:rPr>
                <w:rFonts w:ascii="Times New Roman" w:hAnsi="Times New Roman"/>
                <w:b/>
                <w:bCs/>
                <w:color w:val="auto"/>
              </w:rPr>
            </w:pPr>
            <w:r>
              <w:rPr>
                <w:rFonts w:ascii="Times New Roman" w:hAnsi="Times New Roman"/>
                <w:b/>
                <w:bCs/>
                <w:color w:val="auto"/>
              </w:rPr>
              <w:t>污染物名称</w:t>
            </w:r>
          </w:p>
        </w:tc>
        <w:tc>
          <w:tcPr>
            <w:tcW w:w="2760" w:type="dxa"/>
            <w:tcBorders>
              <w:top w:val="single" w:color="auto" w:sz="6" w:space="0"/>
              <w:left w:val="nil"/>
              <w:bottom w:val="single" w:color="auto" w:sz="6" w:space="0"/>
              <w:right w:val="single" w:color="auto" w:sz="6" w:space="0"/>
            </w:tcBorders>
            <w:vAlign w:val="center"/>
          </w:tcPr>
          <w:p>
            <w:pPr>
              <w:jc w:val="center"/>
              <w:rPr>
                <w:rFonts w:ascii="Times New Roman" w:hAnsi="Times New Roman"/>
                <w:b/>
                <w:bCs/>
                <w:color w:val="auto"/>
              </w:rPr>
            </w:pPr>
            <w:r>
              <w:rPr>
                <w:rFonts w:ascii="Times New Roman" w:hAnsi="Times New Roman"/>
                <w:b/>
                <w:bCs/>
                <w:color w:val="auto"/>
              </w:rPr>
              <w:t>防治措施</w:t>
            </w:r>
          </w:p>
        </w:tc>
        <w:tc>
          <w:tcPr>
            <w:tcW w:w="2360" w:type="dxa"/>
            <w:tcBorders>
              <w:top w:val="single" w:color="auto" w:sz="6" w:space="0"/>
              <w:left w:val="nil"/>
              <w:bottom w:val="single" w:color="auto" w:sz="6" w:space="0"/>
              <w:right w:val="single" w:color="auto" w:sz="6" w:space="0"/>
            </w:tcBorders>
            <w:vAlign w:val="center"/>
          </w:tcPr>
          <w:p>
            <w:pPr>
              <w:jc w:val="center"/>
              <w:rPr>
                <w:rFonts w:ascii="Times New Roman" w:hAnsi="Times New Roman"/>
                <w:b/>
                <w:bCs/>
                <w:color w:val="auto"/>
              </w:rPr>
            </w:pPr>
            <w:r>
              <w:rPr>
                <w:rFonts w:ascii="Times New Roman" w:hAnsi="Times New Roman"/>
                <w:b/>
                <w:bCs/>
                <w:color w:val="auto"/>
              </w:rPr>
              <w:t>预期治理效果</w:t>
            </w:r>
          </w:p>
        </w:tc>
      </w:tr>
      <w:tr>
        <w:tblPrEx>
          <w:tblLayout w:type="fixed"/>
          <w:tblCellMar>
            <w:top w:w="0" w:type="dxa"/>
            <w:left w:w="108" w:type="dxa"/>
            <w:bottom w:w="0" w:type="dxa"/>
            <w:right w:w="108" w:type="dxa"/>
          </w:tblCellMar>
        </w:tblPrEx>
        <w:trPr>
          <w:cantSplit/>
          <w:trHeight w:val="23" w:hRule="atLeast"/>
          <w:jc w:val="center"/>
        </w:trPr>
        <w:tc>
          <w:tcPr>
            <w:tcW w:w="1252" w:type="dxa"/>
            <w:tcBorders>
              <w:top w:val="single" w:color="auto" w:sz="6" w:space="0"/>
              <w:left w:val="single" w:color="auto" w:sz="6" w:space="0"/>
              <w:bottom w:val="single" w:color="auto" w:sz="6" w:space="0"/>
              <w:right w:val="single" w:color="auto" w:sz="6" w:space="0"/>
            </w:tcBorders>
            <w:vAlign w:val="center"/>
          </w:tcPr>
          <w:p>
            <w:pPr>
              <w:snapToGrid w:val="0"/>
              <w:contextualSpacing/>
              <w:jc w:val="center"/>
              <w:rPr>
                <w:rFonts w:ascii="Times New Roman" w:hAnsi="Times New Roman"/>
                <w:b/>
                <w:bCs/>
                <w:color w:val="auto"/>
              </w:rPr>
            </w:pPr>
            <w:r>
              <w:rPr>
                <w:rFonts w:ascii="Times New Roman" w:hAnsi="Times New Roman"/>
                <w:b/>
                <w:bCs/>
                <w:color w:val="auto"/>
              </w:rPr>
              <w:t>大气污染物</w:t>
            </w:r>
          </w:p>
        </w:tc>
        <w:tc>
          <w:tcPr>
            <w:tcW w:w="1439" w:type="dxa"/>
            <w:tcBorders>
              <w:top w:val="single" w:color="auto" w:sz="6" w:space="0"/>
              <w:left w:val="nil"/>
              <w:bottom w:val="single" w:color="auto" w:sz="6" w:space="0"/>
              <w:right w:val="single" w:color="auto" w:sz="6" w:space="0"/>
            </w:tcBorders>
            <w:vAlign w:val="center"/>
          </w:tcPr>
          <w:p>
            <w:pPr>
              <w:snapToGrid w:val="0"/>
              <w:contextualSpacing/>
              <w:jc w:val="center"/>
              <w:rPr>
                <w:rFonts w:ascii="Times New Roman" w:hAnsi="Times New Roman"/>
                <w:color w:val="auto"/>
              </w:rPr>
            </w:pPr>
            <w:r>
              <w:rPr>
                <w:rFonts w:ascii="Times New Roman" w:hAnsi="Times New Roman"/>
                <w:color w:val="auto"/>
              </w:rPr>
              <w:t>施工期</w:t>
            </w:r>
          </w:p>
          <w:p>
            <w:pPr>
              <w:snapToGrid w:val="0"/>
              <w:contextualSpacing/>
              <w:jc w:val="center"/>
              <w:rPr>
                <w:rFonts w:ascii="Times New Roman" w:hAnsi="Times New Roman"/>
                <w:color w:val="auto"/>
              </w:rPr>
            </w:pPr>
            <w:r>
              <w:rPr>
                <w:rFonts w:ascii="Times New Roman" w:hAnsi="Times New Roman"/>
                <w:color w:val="auto"/>
              </w:rPr>
              <w:t>施工现场</w:t>
            </w:r>
          </w:p>
        </w:tc>
        <w:tc>
          <w:tcPr>
            <w:tcW w:w="1440" w:type="dxa"/>
            <w:tcBorders>
              <w:top w:val="single" w:color="auto" w:sz="6" w:space="0"/>
              <w:left w:val="nil"/>
              <w:bottom w:val="single" w:color="auto" w:sz="6" w:space="0"/>
              <w:right w:val="single" w:color="auto" w:sz="6" w:space="0"/>
            </w:tcBorders>
            <w:vAlign w:val="center"/>
          </w:tcPr>
          <w:p>
            <w:pPr>
              <w:snapToGrid w:val="0"/>
              <w:contextualSpacing/>
              <w:jc w:val="center"/>
              <w:rPr>
                <w:rFonts w:ascii="Times New Roman" w:hAnsi="Times New Roman"/>
                <w:color w:val="auto"/>
              </w:rPr>
            </w:pPr>
            <w:r>
              <w:rPr>
                <w:rFonts w:ascii="Times New Roman" w:hAnsi="Times New Roman"/>
                <w:color w:val="auto"/>
              </w:rPr>
              <w:t>扬尘</w:t>
            </w:r>
          </w:p>
        </w:tc>
        <w:tc>
          <w:tcPr>
            <w:tcW w:w="2760" w:type="dxa"/>
            <w:tcBorders>
              <w:top w:val="single" w:color="auto" w:sz="6" w:space="0"/>
              <w:left w:val="nil"/>
              <w:bottom w:val="single" w:color="auto" w:sz="6" w:space="0"/>
              <w:right w:val="single" w:color="auto" w:sz="6" w:space="0"/>
            </w:tcBorders>
            <w:vAlign w:val="center"/>
          </w:tcPr>
          <w:p>
            <w:pPr>
              <w:snapToGrid w:val="0"/>
              <w:contextualSpacing/>
              <w:jc w:val="center"/>
              <w:rPr>
                <w:rFonts w:ascii="Times New Roman" w:hAnsi="Times New Roman"/>
                <w:color w:val="auto"/>
              </w:rPr>
            </w:pPr>
            <w:r>
              <w:rPr>
                <w:rFonts w:ascii="Times New Roman" w:hAnsi="Times New Roman"/>
                <w:color w:val="auto"/>
              </w:rPr>
              <w:t>定期洒水，运土车辆加盖棚布，冲洗车轮。</w:t>
            </w:r>
          </w:p>
        </w:tc>
        <w:tc>
          <w:tcPr>
            <w:tcW w:w="2360" w:type="dxa"/>
            <w:tcBorders>
              <w:top w:val="single" w:color="auto" w:sz="6" w:space="0"/>
              <w:left w:val="nil"/>
              <w:bottom w:val="single" w:color="auto" w:sz="6" w:space="0"/>
              <w:right w:val="single" w:color="auto" w:sz="6" w:space="0"/>
            </w:tcBorders>
            <w:vAlign w:val="center"/>
          </w:tcPr>
          <w:p>
            <w:pPr>
              <w:snapToGrid w:val="0"/>
              <w:contextualSpacing/>
              <w:jc w:val="center"/>
              <w:rPr>
                <w:rFonts w:ascii="Times New Roman" w:hAnsi="Times New Roman"/>
                <w:color w:val="auto"/>
              </w:rPr>
            </w:pPr>
            <w:r>
              <w:rPr>
                <w:rFonts w:ascii="Times New Roman" w:hAnsi="Times New Roman"/>
                <w:color w:val="auto"/>
              </w:rPr>
              <w:t>TSP排放浓度不大于0.3mg/Nm</w:t>
            </w:r>
            <w:r>
              <w:rPr>
                <w:rFonts w:ascii="Times New Roman" w:hAnsi="Times New Roman"/>
                <w:color w:val="auto"/>
                <w:vertAlign w:val="superscript"/>
              </w:rPr>
              <w:t>3</w:t>
            </w:r>
          </w:p>
        </w:tc>
      </w:tr>
      <w:tr>
        <w:tblPrEx>
          <w:tblLayout w:type="fixed"/>
          <w:tblCellMar>
            <w:top w:w="0" w:type="dxa"/>
            <w:left w:w="108" w:type="dxa"/>
            <w:bottom w:w="0" w:type="dxa"/>
            <w:right w:w="108" w:type="dxa"/>
          </w:tblCellMar>
        </w:tblPrEx>
        <w:trPr>
          <w:cantSplit/>
          <w:trHeight w:val="23" w:hRule="atLeast"/>
          <w:jc w:val="center"/>
        </w:trPr>
        <w:tc>
          <w:tcPr>
            <w:tcW w:w="1252" w:type="dxa"/>
            <w:vMerge w:val="restart"/>
            <w:tcBorders>
              <w:top w:val="nil"/>
              <w:left w:val="single" w:color="auto" w:sz="6" w:space="0"/>
              <w:bottom w:val="single" w:color="auto" w:sz="6" w:space="0"/>
              <w:right w:val="single" w:color="auto" w:sz="6" w:space="0"/>
            </w:tcBorders>
            <w:vAlign w:val="center"/>
          </w:tcPr>
          <w:p>
            <w:pPr>
              <w:snapToGrid w:val="0"/>
              <w:contextualSpacing/>
              <w:jc w:val="center"/>
              <w:rPr>
                <w:rFonts w:ascii="Times New Roman" w:hAnsi="Times New Roman"/>
                <w:b/>
                <w:bCs/>
                <w:color w:val="auto"/>
              </w:rPr>
            </w:pPr>
            <w:r>
              <w:rPr>
                <w:rFonts w:ascii="Times New Roman" w:hAnsi="Times New Roman"/>
                <w:b/>
                <w:bCs/>
                <w:color w:val="auto"/>
              </w:rPr>
              <w:t>水污染物</w:t>
            </w:r>
          </w:p>
        </w:tc>
        <w:tc>
          <w:tcPr>
            <w:tcW w:w="1439" w:type="dxa"/>
            <w:tcBorders>
              <w:top w:val="single" w:color="auto" w:sz="6" w:space="0"/>
              <w:left w:val="nil"/>
              <w:bottom w:val="single" w:color="auto" w:sz="6" w:space="0"/>
              <w:right w:val="single" w:color="auto" w:sz="6" w:space="0"/>
            </w:tcBorders>
            <w:vAlign w:val="center"/>
          </w:tcPr>
          <w:p>
            <w:pPr>
              <w:snapToGrid w:val="0"/>
              <w:contextualSpacing/>
              <w:jc w:val="center"/>
              <w:rPr>
                <w:rFonts w:ascii="Times New Roman" w:hAnsi="Times New Roman"/>
                <w:color w:val="auto"/>
              </w:rPr>
            </w:pPr>
            <w:r>
              <w:rPr>
                <w:rFonts w:ascii="Times New Roman" w:hAnsi="Times New Roman"/>
                <w:color w:val="auto"/>
              </w:rPr>
              <w:t>施工期生活污水</w:t>
            </w:r>
          </w:p>
        </w:tc>
        <w:tc>
          <w:tcPr>
            <w:tcW w:w="1440" w:type="dxa"/>
            <w:tcBorders>
              <w:top w:val="single" w:color="auto" w:sz="6" w:space="0"/>
              <w:left w:val="nil"/>
              <w:bottom w:val="single" w:color="auto" w:sz="4" w:space="0"/>
              <w:right w:val="single" w:color="auto" w:sz="6" w:space="0"/>
            </w:tcBorders>
            <w:vAlign w:val="center"/>
          </w:tcPr>
          <w:p>
            <w:pPr>
              <w:snapToGrid w:val="0"/>
              <w:contextualSpacing/>
              <w:jc w:val="center"/>
              <w:rPr>
                <w:rFonts w:ascii="Times New Roman" w:hAnsi="Times New Roman"/>
                <w:color w:val="auto"/>
              </w:rPr>
            </w:pPr>
            <w:r>
              <w:rPr>
                <w:rFonts w:ascii="Times New Roman" w:hAnsi="Times New Roman"/>
                <w:color w:val="auto"/>
              </w:rPr>
              <w:t>COD、SS、 BOD</w:t>
            </w:r>
            <w:r>
              <w:rPr>
                <w:rFonts w:ascii="Times New Roman" w:hAnsi="Times New Roman"/>
                <w:color w:val="auto"/>
                <w:vertAlign w:val="subscript"/>
              </w:rPr>
              <w:t>5</w:t>
            </w:r>
            <w:r>
              <w:rPr>
                <w:rFonts w:ascii="Times New Roman" w:hAnsi="Times New Roman"/>
                <w:color w:val="auto"/>
              </w:rPr>
              <w:t>、氨氮</w:t>
            </w:r>
          </w:p>
        </w:tc>
        <w:tc>
          <w:tcPr>
            <w:tcW w:w="2760" w:type="dxa"/>
            <w:tcBorders>
              <w:top w:val="single" w:color="auto" w:sz="6" w:space="0"/>
              <w:left w:val="nil"/>
              <w:bottom w:val="single" w:color="auto" w:sz="6" w:space="0"/>
              <w:right w:val="single" w:color="auto" w:sz="6" w:space="0"/>
            </w:tcBorders>
            <w:vAlign w:val="center"/>
          </w:tcPr>
          <w:p>
            <w:pPr>
              <w:snapToGrid w:val="0"/>
              <w:contextualSpacing/>
              <w:jc w:val="center"/>
              <w:rPr>
                <w:rFonts w:hint="default" w:ascii="Times New Roman" w:hAnsi="Times New Roman" w:eastAsia="宋体"/>
                <w:color w:val="auto"/>
                <w:lang w:val="en-US" w:eastAsia="zh-CN"/>
              </w:rPr>
            </w:pPr>
            <w:r>
              <w:rPr>
                <w:rFonts w:ascii="Times New Roman" w:hAnsi="Times New Roman"/>
                <w:color w:val="auto"/>
              </w:rPr>
              <w:t>化粪池</w:t>
            </w:r>
            <w:r>
              <w:rPr>
                <w:rFonts w:hint="eastAsia" w:ascii="Times New Roman" w:hAnsi="Times New Roman"/>
                <w:color w:val="auto"/>
                <w:lang w:val="en-US" w:eastAsia="zh-CN"/>
              </w:rPr>
              <w:t>yang</w:t>
            </w:r>
            <w:r>
              <w:rPr>
                <w:rFonts w:hint="default" w:ascii="Times New Roman" w:hAnsi="Times New Roman"/>
                <w:color w:val="auto"/>
                <w:lang w:val="en-US" w:eastAsia="zh-CN"/>
              </w:rPr>
              <w:t>’</w:t>
            </w:r>
            <w:r>
              <w:rPr>
                <w:rFonts w:hint="eastAsia" w:ascii="Times New Roman" w:hAnsi="Times New Roman"/>
                <w:color w:val="auto"/>
                <w:lang w:val="en-US" w:eastAsia="zh-CN"/>
              </w:rPr>
              <w:t>sh</w:t>
            </w:r>
          </w:p>
        </w:tc>
        <w:tc>
          <w:tcPr>
            <w:tcW w:w="2360" w:type="dxa"/>
            <w:tcBorders>
              <w:top w:val="single" w:color="auto" w:sz="6" w:space="0"/>
              <w:left w:val="nil"/>
              <w:bottom w:val="single" w:color="auto" w:sz="6" w:space="0"/>
              <w:right w:val="single" w:color="auto" w:sz="6" w:space="0"/>
            </w:tcBorders>
            <w:vAlign w:val="center"/>
          </w:tcPr>
          <w:p>
            <w:pPr>
              <w:snapToGrid w:val="0"/>
              <w:contextualSpacing/>
              <w:jc w:val="left"/>
              <w:rPr>
                <w:rFonts w:ascii="Times New Roman" w:hAnsi="Times New Roman"/>
                <w:color w:val="auto"/>
              </w:rPr>
            </w:pPr>
            <w:r>
              <w:rPr>
                <w:rFonts w:ascii="Times New Roman" w:hAnsi="Times New Roman"/>
                <w:color w:val="auto"/>
              </w:rPr>
              <w:t>生活污水排入居住点</w:t>
            </w:r>
            <w:r>
              <w:rPr>
                <w:rFonts w:hint="eastAsia" w:ascii="Times New Roman" w:hAnsi="Times New Roman"/>
                <w:color w:val="auto"/>
              </w:rPr>
              <w:t>及变电站原有</w:t>
            </w:r>
            <w:r>
              <w:rPr>
                <w:rFonts w:ascii="Times New Roman" w:hAnsi="Times New Roman"/>
                <w:color w:val="auto"/>
              </w:rPr>
              <w:t>的化粪池中，不外排</w:t>
            </w:r>
          </w:p>
        </w:tc>
      </w:tr>
      <w:tr>
        <w:tblPrEx>
          <w:tblLayout w:type="fixed"/>
          <w:tblCellMar>
            <w:top w:w="0" w:type="dxa"/>
            <w:left w:w="108" w:type="dxa"/>
            <w:bottom w:w="0" w:type="dxa"/>
            <w:right w:w="108" w:type="dxa"/>
          </w:tblCellMar>
        </w:tblPrEx>
        <w:trPr>
          <w:cantSplit/>
          <w:trHeight w:val="23" w:hRule="atLeast"/>
          <w:jc w:val="center"/>
        </w:trPr>
        <w:tc>
          <w:tcPr>
            <w:tcW w:w="1252" w:type="dxa"/>
            <w:vMerge w:val="continue"/>
            <w:tcBorders>
              <w:top w:val="nil"/>
              <w:left w:val="single" w:color="auto" w:sz="6" w:space="0"/>
              <w:bottom w:val="single" w:color="auto" w:sz="6" w:space="0"/>
              <w:right w:val="single" w:color="auto" w:sz="6" w:space="0"/>
            </w:tcBorders>
            <w:vAlign w:val="center"/>
          </w:tcPr>
          <w:p>
            <w:pPr>
              <w:widowControl/>
              <w:jc w:val="left"/>
              <w:rPr>
                <w:rFonts w:ascii="Times New Roman" w:hAnsi="Times New Roman"/>
                <w:b/>
                <w:bCs/>
                <w:color w:val="auto"/>
              </w:rPr>
            </w:pPr>
          </w:p>
        </w:tc>
        <w:tc>
          <w:tcPr>
            <w:tcW w:w="1439" w:type="dxa"/>
            <w:tcBorders>
              <w:top w:val="single" w:color="auto" w:sz="6" w:space="0"/>
              <w:left w:val="nil"/>
              <w:right w:val="single" w:color="auto" w:sz="6" w:space="0"/>
            </w:tcBorders>
            <w:vAlign w:val="center"/>
          </w:tcPr>
          <w:p>
            <w:pPr>
              <w:snapToGrid w:val="0"/>
              <w:contextualSpacing/>
              <w:jc w:val="center"/>
              <w:rPr>
                <w:rFonts w:ascii="Times New Roman" w:hAnsi="Times New Roman"/>
                <w:color w:val="auto"/>
              </w:rPr>
            </w:pPr>
            <w:r>
              <w:rPr>
                <w:rFonts w:ascii="Times New Roman" w:hAnsi="Times New Roman"/>
                <w:color w:val="auto"/>
              </w:rPr>
              <w:t>施工期生产排水</w:t>
            </w:r>
          </w:p>
        </w:tc>
        <w:tc>
          <w:tcPr>
            <w:tcW w:w="1440" w:type="dxa"/>
            <w:tcBorders>
              <w:top w:val="single" w:color="auto" w:sz="4" w:space="0"/>
              <w:left w:val="nil"/>
              <w:right w:val="single" w:color="auto" w:sz="6" w:space="0"/>
            </w:tcBorders>
            <w:vAlign w:val="center"/>
          </w:tcPr>
          <w:p>
            <w:pPr>
              <w:snapToGrid w:val="0"/>
              <w:ind w:firstLine="527"/>
              <w:contextualSpacing/>
              <w:rPr>
                <w:rFonts w:ascii="Times New Roman" w:hAnsi="Times New Roman"/>
                <w:color w:val="auto"/>
              </w:rPr>
            </w:pPr>
            <w:r>
              <w:rPr>
                <w:rFonts w:ascii="Times New Roman" w:hAnsi="Times New Roman"/>
                <w:color w:val="auto"/>
              </w:rPr>
              <w:t>SS</w:t>
            </w:r>
          </w:p>
        </w:tc>
        <w:tc>
          <w:tcPr>
            <w:tcW w:w="2760" w:type="dxa"/>
            <w:tcBorders>
              <w:top w:val="single" w:color="auto" w:sz="6" w:space="0"/>
              <w:left w:val="nil"/>
              <w:right w:val="single" w:color="auto" w:sz="6" w:space="0"/>
            </w:tcBorders>
            <w:vAlign w:val="center"/>
          </w:tcPr>
          <w:p>
            <w:pPr>
              <w:snapToGrid w:val="0"/>
              <w:contextualSpacing/>
              <w:jc w:val="center"/>
              <w:rPr>
                <w:rFonts w:ascii="Times New Roman" w:hAnsi="Times New Roman"/>
                <w:color w:val="auto"/>
              </w:rPr>
            </w:pPr>
            <w:r>
              <w:rPr>
                <w:rFonts w:ascii="Times New Roman" w:hAnsi="Times New Roman"/>
                <w:color w:val="auto"/>
              </w:rPr>
              <w:t>沉砂池</w:t>
            </w:r>
          </w:p>
        </w:tc>
        <w:tc>
          <w:tcPr>
            <w:tcW w:w="2360" w:type="dxa"/>
            <w:tcBorders>
              <w:top w:val="single" w:color="auto" w:sz="6" w:space="0"/>
              <w:left w:val="nil"/>
              <w:right w:val="single" w:color="auto" w:sz="6" w:space="0"/>
            </w:tcBorders>
            <w:vAlign w:val="center"/>
          </w:tcPr>
          <w:p>
            <w:pPr>
              <w:snapToGrid w:val="0"/>
              <w:contextualSpacing/>
              <w:jc w:val="center"/>
              <w:rPr>
                <w:rFonts w:ascii="Times New Roman" w:hAnsi="Times New Roman"/>
                <w:color w:val="auto"/>
              </w:rPr>
            </w:pPr>
            <w:r>
              <w:rPr>
                <w:rFonts w:ascii="Times New Roman" w:hAnsi="Times New Roman"/>
                <w:color w:val="auto"/>
              </w:rPr>
              <w:t>经沉砂池处理后回用</w:t>
            </w:r>
          </w:p>
        </w:tc>
      </w:tr>
      <w:tr>
        <w:tblPrEx>
          <w:tblLayout w:type="fixed"/>
          <w:tblCellMar>
            <w:top w:w="0" w:type="dxa"/>
            <w:left w:w="108" w:type="dxa"/>
            <w:bottom w:w="0" w:type="dxa"/>
            <w:right w:w="108" w:type="dxa"/>
          </w:tblCellMar>
        </w:tblPrEx>
        <w:trPr>
          <w:cantSplit/>
          <w:trHeight w:val="23" w:hRule="atLeast"/>
          <w:jc w:val="center"/>
        </w:trPr>
        <w:tc>
          <w:tcPr>
            <w:tcW w:w="1252" w:type="dxa"/>
            <w:tcBorders>
              <w:top w:val="single" w:color="auto" w:sz="6" w:space="0"/>
              <w:left w:val="single" w:color="auto" w:sz="6" w:space="0"/>
              <w:bottom w:val="single" w:color="auto" w:sz="6" w:space="0"/>
              <w:right w:val="single" w:color="auto" w:sz="6" w:space="0"/>
            </w:tcBorders>
            <w:vAlign w:val="center"/>
          </w:tcPr>
          <w:p>
            <w:pPr>
              <w:snapToGrid w:val="0"/>
              <w:contextualSpacing/>
              <w:jc w:val="center"/>
              <w:rPr>
                <w:rFonts w:ascii="Times New Roman" w:hAnsi="Times New Roman"/>
                <w:b/>
                <w:bCs/>
                <w:color w:val="auto"/>
              </w:rPr>
            </w:pPr>
            <w:r>
              <w:rPr>
                <w:rFonts w:ascii="Times New Roman" w:hAnsi="Times New Roman"/>
                <w:b/>
                <w:bCs/>
                <w:color w:val="auto"/>
              </w:rPr>
              <w:t>工频电场、</w:t>
            </w:r>
          </w:p>
          <w:p>
            <w:pPr>
              <w:snapToGrid w:val="0"/>
              <w:ind w:firstLine="102" w:firstLineChars="49"/>
              <w:contextualSpacing/>
              <w:rPr>
                <w:rFonts w:ascii="Times New Roman" w:hAnsi="Times New Roman"/>
                <w:b/>
                <w:bCs/>
                <w:color w:val="auto"/>
              </w:rPr>
            </w:pPr>
            <w:r>
              <w:rPr>
                <w:rFonts w:ascii="Times New Roman" w:hAnsi="Times New Roman"/>
                <w:b/>
                <w:bCs/>
                <w:color w:val="auto"/>
              </w:rPr>
              <w:t>工频磁场</w:t>
            </w:r>
          </w:p>
        </w:tc>
        <w:tc>
          <w:tcPr>
            <w:tcW w:w="1439" w:type="dxa"/>
            <w:tcBorders>
              <w:top w:val="single" w:color="auto" w:sz="6" w:space="0"/>
              <w:left w:val="nil"/>
              <w:bottom w:val="single" w:color="auto" w:sz="6" w:space="0"/>
              <w:right w:val="single" w:color="auto" w:sz="6" w:space="0"/>
            </w:tcBorders>
            <w:vAlign w:val="center"/>
          </w:tcPr>
          <w:p>
            <w:pPr>
              <w:snapToGrid w:val="0"/>
              <w:contextualSpacing/>
              <w:jc w:val="center"/>
              <w:rPr>
                <w:rFonts w:hint="eastAsia" w:ascii="Times New Roman" w:hAnsi="Times New Roman"/>
                <w:color w:val="auto"/>
              </w:rPr>
            </w:pPr>
            <w:r>
              <w:rPr>
                <w:rFonts w:hint="eastAsia" w:ascii="Times New Roman" w:hAnsi="Times New Roman"/>
                <w:color w:val="auto"/>
              </w:rPr>
              <w:t>220</w:t>
            </w:r>
            <w:r>
              <w:rPr>
                <w:rFonts w:ascii="Times New Roman" w:hAnsi="Times New Roman"/>
                <w:color w:val="auto"/>
              </w:rPr>
              <w:t>kV</w:t>
            </w:r>
            <w:r>
              <w:rPr>
                <w:rFonts w:hint="eastAsia" w:ascii="Times New Roman" w:hAnsi="Times New Roman"/>
                <w:color w:val="auto"/>
              </w:rPr>
              <w:t>输电线路</w:t>
            </w:r>
          </w:p>
        </w:tc>
        <w:tc>
          <w:tcPr>
            <w:tcW w:w="1440" w:type="dxa"/>
            <w:tcBorders>
              <w:top w:val="single" w:color="auto" w:sz="6" w:space="0"/>
              <w:left w:val="nil"/>
              <w:bottom w:val="single" w:color="auto" w:sz="6" w:space="0"/>
              <w:right w:val="single" w:color="auto" w:sz="6" w:space="0"/>
            </w:tcBorders>
            <w:vAlign w:val="center"/>
          </w:tcPr>
          <w:p>
            <w:pPr>
              <w:snapToGrid w:val="0"/>
              <w:contextualSpacing/>
              <w:jc w:val="center"/>
              <w:rPr>
                <w:rFonts w:ascii="Times New Roman" w:hAnsi="Times New Roman"/>
                <w:color w:val="auto"/>
              </w:rPr>
            </w:pPr>
            <w:r>
              <w:rPr>
                <w:rFonts w:ascii="Times New Roman" w:hAnsi="Times New Roman"/>
                <w:color w:val="auto"/>
              </w:rPr>
              <w:t>工频电场</w:t>
            </w:r>
          </w:p>
          <w:p>
            <w:pPr>
              <w:snapToGrid w:val="0"/>
              <w:contextualSpacing/>
              <w:jc w:val="center"/>
              <w:rPr>
                <w:rFonts w:ascii="Times New Roman" w:hAnsi="Times New Roman"/>
                <w:color w:val="auto"/>
              </w:rPr>
            </w:pPr>
            <w:r>
              <w:rPr>
                <w:rFonts w:ascii="Times New Roman" w:hAnsi="Times New Roman"/>
                <w:color w:val="auto"/>
              </w:rPr>
              <w:t>工频磁场</w:t>
            </w:r>
          </w:p>
        </w:tc>
        <w:tc>
          <w:tcPr>
            <w:tcW w:w="2760" w:type="dxa"/>
            <w:tcBorders>
              <w:top w:val="single" w:color="auto" w:sz="6" w:space="0"/>
              <w:left w:val="nil"/>
              <w:bottom w:val="single" w:color="auto" w:sz="6" w:space="0"/>
              <w:right w:val="single" w:color="auto" w:sz="6" w:space="0"/>
            </w:tcBorders>
            <w:vAlign w:val="center"/>
          </w:tcPr>
          <w:p>
            <w:pPr>
              <w:pStyle w:val="23"/>
              <w:spacing w:line="240" w:lineRule="auto"/>
              <w:ind w:firstLine="0"/>
              <w:jc w:val="center"/>
              <w:rPr>
                <w:rFonts w:hint="eastAsia" w:ascii="Times New Roman" w:hAnsi="宋体"/>
                <w:color w:val="auto"/>
                <w:kern w:val="2"/>
                <w:sz w:val="21"/>
                <w:lang w:val="en-US" w:eastAsia="zh-CN"/>
              </w:rPr>
            </w:pPr>
            <w:r>
              <w:rPr>
                <w:rFonts w:hint="eastAsia" w:ascii="Times New Roman" w:hAnsi="宋体"/>
                <w:color w:val="auto"/>
                <w:kern w:val="2"/>
                <w:sz w:val="21"/>
                <w:lang w:val="en-US" w:eastAsia="zh-CN"/>
              </w:rPr>
              <w:t>220kV架空线路导线对地高度不小于11m，在地面1.5m高度处的工频电场强度、工频磁感应强度满足相应评价标准的要求；对地高度不小于19m，跨越民房及线路边导线外2m处有民房时工频电场强度、工频磁感应强度满足相应评价标准的要求。</w:t>
            </w:r>
          </w:p>
        </w:tc>
        <w:tc>
          <w:tcPr>
            <w:tcW w:w="2360" w:type="dxa"/>
            <w:tcBorders>
              <w:top w:val="single" w:color="auto" w:sz="6" w:space="0"/>
              <w:left w:val="nil"/>
              <w:bottom w:val="single" w:color="auto" w:sz="6" w:space="0"/>
              <w:right w:val="single" w:color="auto" w:sz="6" w:space="0"/>
            </w:tcBorders>
            <w:vAlign w:val="center"/>
          </w:tcPr>
          <w:p>
            <w:pPr>
              <w:pStyle w:val="23"/>
              <w:spacing w:line="240" w:lineRule="auto"/>
              <w:ind w:firstLine="0"/>
              <w:jc w:val="center"/>
              <w:rPr>
                <w:rFonts w:hint="eastAsia" w:ascii="Times New Roman" w:hAnsi="宋体"/>
                <w:color w:val="auto"/>
                <w:kern w:val="2"/>
                <w:sz w:val="21"/>
                <w:lang w:val="en-US" w:eastAsia="zh-CN"/>
              </w:rPr>
            </w:pPr>
            <w:r>
              <w:rPr>
                <w:rFonts w:hint="eastAsia" w:ascii="Times New Roman" w:hAnsi="宋体"/>
                <w:color w:val="auto"/>
                <w:kern w:val="2"/>
                <w:sz w:val="21"/>
                <w:lang w:val="en-US" w:eastAsia="zh-CN"/>
              </w:rPr>
              <w:t>工频电场强度：</w:t>
            </w:r>
          </w:p>
          <w:p>
            <w:pPr>
              <w:pStyle w:val="23"/>
              <w:spacing w:line="240" w:lineRule="auto"/>
              <w:ind w:firstLine="0"/>
              <w:jc w:val="center"/>
              <w:rPr>
                <w:rFonts w:hint="eastAsia" w:ascii="Times New Roman" w:hAnsi="宋体"/>
                <w:color w:val="auto"/>
                <w:kern w:val="2"/>
                <w:sz w:val="21"/>
                <w:lang w:val="en-US" w:eastAsia="zh-CN"/>
              </w:rPr>
            </w:pPr>
            <w:r>
              <w:rPr>
                <w:rFonts w:hint="eastAsia" w:ascii="Times New Roman" w:hAnsi="宋体"/>
                <w:color w:val="auto"/>
                <w:kern w:val="2"/>
                <w:sz w:val="21"/>
                <w:lang w:val="en-US" w:eastAsia="zh-CN"/>
              </w:rPr>
              <w:t>&lt; 4kV/m（公众曝露控制限值），&lt;10kV/m（架空线路经过耕地、林地、道路等场所时）</w:t>
            </w:r>
          </w:p>
          <w:p>
            <w:pPr>
              <w:pStyle w:val="23"/>
              <w:spacing w:line="240" w:lineRule="auto"/>
              <w:ind w:firstLine="0"/>
              <w:jc w:val="center"/>
              <w:rPr>
                <w:rFonts w:hint="eastAsia" w:ascii="Times New Roman" w:hAnsi="宋体"/>
                <w:color w:val="auto"/>
                <w:kern w:val="2"/>
                <w:sz w:val="21"/>
                <w:lang w:val="en-US" w:eastAsia="zh-CN"/>
              </w:rPr>
            </w:pPr>
            <w:r>
              <w:rPr>
                <w:rFonts w:hint="eastAsia" w:ascii="Times New Roman" w:hAnsi="宋体"/>
                <w:color w:val="auto"/>
                <w:kern w:val="2"/>
                <w:sz w:val="21"/>
                <w:lang w:val="en-US" w:eastAsia="zh-CN"/>
              </w:rPr>
              <w:t>工频磁感应强度：&lt;100μT</w:t>
            </w:r>
          </w:p>
        </w:tc>
      </w:tr>
      <w:tr>
        <w:tblPrEx>
          <w:tblLayout w:type="fixed"/>
          <w:tblCellMar>
            <w:top w:w="0" w:type="dxa"/>
            <w:left w:w="108" w:type="dxa"/>
            <w:bottom w:w="0" w:type="dxa"/>
            <w:right w:w="108" w:type="dxa"/>
          </w:tblCellMar>
        </w:tblPrEx>
        <w:trPr>
          <w:cantSplit/>
          <w:trHeight w:val="23" w:hRule="atLeast"/>
          <w:jc w:val="center"/>
        </w:trPr>
        <w:tc>
          <w:tcPr>
            <w:tcW w:w="1252" w:type="dxa"/>
            <w:vMerge w:val="restart"/>
            <w:tcBorders>
              <w:top w:val="nil"/>
              <w:left w:val="single" w:color="auto" w:sz="6" w:space="0"/>
              <w:bottom w:val="single" w:color="auto" w:sz="6" w:space="0"/>
              <w:right w:val="single" w:color="auto" w:sz="6" w:space="0"/>
            </w:tcBorders>
            <w:vAlign w:val="center"/>
          </w:tcPr>
          <w:p>
            <w:pPr>
              <w:snapToGrid w:val="0"/>
              <w:contextualSpacing/>
              <w:jc w:val="center"/>
              <w:rPr>
                <w:rFonts w:ascii="Times New Roman" w:hAnsi="Times New Roman"/>
                <w:b/>
                <w:bCs/>
                <w:color w:val="auto"/>
              </w:rPr>
            </w:pPr>
            <w:r>
              <w:rPr>
                <w:rFonts w:ascii="Times New Roman" w:hAnsi="Times New Roman"/>
                <w:b/>
                <w:bCs/>
                <w:color w:val="auto"/>
              </w:rPr>
              <w:t>固体废物</w:t>
            </w:r>
          </w:p>
        </w:tc>
        <w:tc>
          <w:tcPr>
            <w:tcW w:w="1439" w:type="dxa"/>
            <w:tcBorders>
              <w:top w:val="single" w:color="auto" w:sz="6" w:space="0"/>
              <w:left w:val="nil"/>
              <w:bottom w:val="single" w:color="auto" w:sz="6" w:space="0"/>
              <w:right w:val="single" w:color="auto" w:sz="6" w:space="0"/>
            </w:tcBorders>
            <w:vAlign w:val="center"/>
          </w:tcPr>
          <w:p>
            <w:pPr>
              <w:jc w:val="center"/>
              <w:rPr>
                <w:rFonts w:ascii="Times New Roman" w:hAnsi="Times New Roman"/>
                <w:color w:val="auto"/>
              </w:rPr>
            </w:pPr>
            <w:r>
              <w:rPr>
                <w:rFonts w:ascii="Times New Roman" w:hAnsi="Times New Roman"/>
                <w:color w:val="auto"/>
              </w:rPr>
              <w:t>施工期建筑垃圾</w:t>
            </w:r>
          </w:p>
        </w:tc>
        <w:tc>
          <w:tcPr>
            <w:tcW w:w="1440" w:type="dxa"/>
            <w:tcBorders>
              <w:top w:val="single" w:color="auto" w:sz="6" w:space="0"/>
              <w:left w:val="nil"/>
              <w:bottom w:val="single" w:color="auto" w:sz="6" w:space="0"/>
              <w:right w:val="single" w:color="auto" w:sz="6" w:space="0"/>
            </w:tcBorders>
            <w:vAlign w:val="center"/>
          </w:tcPr>
          <w:p>
            <w:pPr>
              <w:jc w:val="center"/>
              <w:rPr>
                <w:rFonts w:ascii="Times New Roman" w:hAnsi="Times New Roman"/>
                <w:color w:val="auto"/>
              </w:rPr>
            </w:pPr>
            <w:r>
              <w:rPr>
                <w:rFonts w:ascii="Times New Roman" w:hAnsi="Times New Roman"/>
                <w:color w:val="auto"/>
              </w:rPr>
              <w:t>建筑垃圾</w:t>
            </w:r>
          </w:p>
        </w:tc>
        <w:tc>
          <w:tcPr>
            <w:tcW w:w="5120" w:type="dxa"/>
            <w:gridSpan w:val="2"/>
            <w:tcBorders>
              <w:top w:val="single" w:color="auto" w:sz="6" w:space="0"/>
              <w:left w:val="nil"/>
              <w:bottom w:val="single" w:color="auto" w:sz="6" w:space="0"/>
              <w:right w:val="single" w:color="auto" w:sz="6" w:space="0"/>
            </w:tcBorders>
            <w:vAlign w:val="center"/>
          </w:tcPr>
          <w:p>
            <w:pPr>
              <w:jc w:val="center"/>
              <w:rPr>
                <w:rFonts w:ascii="Times New Roman" w:hAnsi="Times New Roman"/>
                <w:color w:val="auto"/>
              </w:rPr>
            </w:pPr>
            <w:r>
              <w:rPr>
                <w:rFonts w:ascii="Times New Roman" w:hAnsi="Times New Roman"/>
                <w:color w:val="auto"/>
              </w:rPr>
              <w:t>集中堆放，及时清运</w:t>
            </w:r>
          </w:p>
        </w:tc>
      </w:tr>
      <w:tr>
        <w:tblPrEx>
          <w:tblLayout w:type="fixed"/>
          <w:tblCellMar>
            <w:top w:w="0" w:type="dxa"/>
            <w:left w:w="108" w:type="dxa"/>
            <w:bottom w:w="0" w:type="dxa"/>
            <w:right w:w="108" w:type="dxa"/>
          </w:tblCellMar>
        </w:tblPrEx>
        <w:trPr>
          <w:cantSplit/>
          <w:trHeight w:val="23" w:hRule="atLeast"/>
          <w:jc w:val="center"/>
        </w:trPr>
        <w:tc>
          <w:tcPr>
            <w:tcW w:w="1252" w:type="dxa"/>
            <w:vMerge w:val="continue"/>
            <w:tcBorders>
              <w:top w:val="nil"/>
              <w:left w:val="single" w:color="auto" w:sz="6" w:space="0"/>
              <w:bottom w:val="single" w:color="auto" w:sz="6" w:space="0"/>
              <w:right w:val="single" w:color="auto" w:sz="6" w:space="0"/>
            </w:tcBorders>
            <w:vAlign w:val="center"/>
          </w:tcPr>
          <w:p>
            <w:pPr>
              <w:widowControl/>
              <w:jc w:val="left"/>
              <w:rPr>
                <w:rFonts w:ascii="Times New Roman" w:hAnsi="Times New Roman"/>
                <w:b/>
                <w:bCs/>
                <w:color w:val="auto"/>
              </w:rPr>
            </w:pPr>
          </w:p>
        </w:tc>
        <w:tc>
          <w:tcPr>
            <w:tcW w:w="1439" w:type="dxa"/>
            <w:tcBorders>
              <w:top w:val="single" w:color="auto" w:sz="6" w:space="0"/>
              <w:left w:val="nil"/>
              <w:right w:val="single" w:color="auto" w:sz="6" w:space="0"/>
            </w:tcBorders>
            <w:vAlign w:val="center"/>
          </w:tcPr>
          <w:p>
            <w:pPr>
              <w:jc w:val="center"/>
              <w:rPr>
                <w:rFonts w:ascii="Times New Roman" w:hAnsi="Times New Roman"/>
                <w:color w:val="auto"/>
              </w:rPr>
            </w:pPr>
            <w:r>
              <w:rPr>
                <w:rFonts w:ascii="Times New Roman" w:hAnsi="Times New Roman"/>
                <w:color w:val="auto"/>
              </w:rPr>
              <w:t>施工期生活垃圾</w:t>
            </w:r>
          </w:p>
        </w:tc>
        <w:tc>
          <w:tcPr>
            <w:tcW w:w="1440" w:type="dxa"/>
            <w:tcBorders>
              <w:top w:val="single" w:color="auto" w:sz="6" w:space="0"/>
              <w:left w:val="nil"/>
              <w:right w:val="single" w:color="auto" w:sz="6" w:space="0"/>
            </w:tcBorders>
            <w:vAlign w:val="center"/>
          </w:tcPr>
          <w:p>
            <w:pPr>
              <w:jc w:val="center"/>
              <w:rPr>
                <w:rFonts w:ascii="Times New Roman" w:hAnsi="Times New Roman"/>
                <w:color w:val="auto"/>
              </w:rPr>
            </w:pPr>
            <w:r>
              <w:rPr>
                <w:rFonts w:ascii="Times New Roman" w:hAnsi="Times New Roman"/>
                <w:color w:val="auto"/>
              </w:rPr>
              <w:t>生活垃圾</w:t>
            </w:r>
          </w:p>
        </w:tc>
        <w:tc>
          <w:tcPr>
            <w:tcW w:w="5120" w:type="dxa"/>
            <w:gridSpan w:val="2"/>
            <w:tcBorders>
              <w:top w:val="single" w:color="auto" w:sz="6" w:space="0"/>
              <w:left w:val="nil"/>
              <w:right w:val="single" w:color="auto" w:sz="6" w:space="0"/>
            </w:tcBorders>
            <w:vAlign w:val="center"/>
          </w:tcPr>
          <w:p>
            <w:pPr>
              <w:jc w:val="center"/>
              <w:rPr>
                <w:rFonts w:ascii="Times New Roman" w:hAnsi="Times New Roman"/>
                <w:color w:val="auto"/>
              </w:rPr>
            </w:pPr>
            <w:r>
              <w:rPr>
                <w:rFonts w:ascii="Times New Roman" w:hAnsi="Times New Roman"/>
                <w:color w:val="auto"/>
              </w:rPr>
              <w:t>收集在</w:t>
            </w:r>
            <w:r>
              <w:rPr>
                <w:rFonts w:hint="eastAsia" w:ascii="Times New Roman" w:hAnsi="Times New Roman"/>
                <w:color w:val="auto"/>
                <w:lang w:eastAsia="zh-CN"/>
              </w:rPr>
              <w:t>居住点</w:t>
            </w:r>
            <w:r>
              <w:rPr>
                <w:rFonts w:ascii="Times New Roman" w:hAnsi="Times New Roman"/>
                <w:color w:val="auto"/>
              </w:rPr>
              <w:t>垃圾桶内定期清运</w:t>
            </w:r>
          </w:p>
        </w:tc>
      </w:tr>
      <w:tr>
        <w:tblPrEx>
          <w:tblLayout w:type="fixed"/>
          <w:tblCellMar>
            <w:top w:w="0" w:type="dxa"/>
            <w:left w:w="108" w:type="dxa"/>
            <w:bottom w:w="0" w:type="dxa"/>
            <w:right w:w="108" w:type="dxa"/>
          </w:tblCellMar>
        </w:tblPrEx>
        <w:trPr>
          <w:cantSplit/>
          <w:trHeight w:val="23" w:hRule="atLeast"/>
          <w:jc w:val="center"/>
        </w:trPr>
        <w:tc>
          <w:tcPr>
            <w:tcW w:w="125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bCs/>
                <w:color w:val="auto"/>
              </w:rPr>
            </w:pPr>
            <w:r>
              <w:rPr>
                <w:rFonts w:ascii="Times New Roman" w:hAnsi="Times New Roman"/>
                <w:b/>
                <w:bCs/>
                <w:color w:val="auto"/>
              </w:rPr>
              <w:t>噪  声</w:t>
            </w:r>
          </w:p>
        </w:tc>
        <w:tc>
          <w:tcPr>
            <w:tcW w:w="7999" w:type="dxa"/>
            <w:gridSpan w:val="4"/>
            <w:tcBorders>
              <w:top w:val="single" w:color="auto" w:sz="6" w:space="0"/>
              <w:left w:val="nil"/>
              <w:bottom w:val="single" w:color="auto" w:sz="6" w:space="0"/>
              <w:right w:val="single" w:color="auto" w:sz="6" w:space="0"/>
            </w:tcBorders>
            <w:vAlign w:val="center"/>
          </w:tcPr>
          <w:p>
            <w:pPr>
              <w:ind w:firstLine="420" w:firstLineChars="200"/>
              <w:rPr>
                <w:rFonts w:hint="eastAsia" w:ascii="Times New Roman" w:hAnsi="Times New Roman"/>
                <w:color w:val="auto"/>
              </w:rPr>
            </w:pPr>
            <w:r>
              <w:rPr>
                <w:rFonts w:hint="eastAsia" w:ascii="Times New Roman" w:hAnsi="Times New Roman"/>
                <w:color w:val="auto"/>
              </w:rPr>
              <w:t>新建线路</w:t>
            </w:r>
            <w:r>
              <w:rPr>
                <w:rFonts w:ascii="Times New Roman" w:hAnsi="Times New Roman"/>
                <w:color w:val="auto"/>
              </w:rPr>
              <w:t>施工</w:t>
            </w:r>
            <w:r>
              <w:rPr>
                <w:rFonts w:hint="eastAsia" w:ascii="Times New Roman" w:hAnsi="Times New Roman"/>
                <w:color w:val="auto"/>
              </w:rPr>
              <w:t>过程</w:t>
            </w:r>
            <w:r>
              <w:rPr>
                <w:rFonts w:ascii="Times New Roman" w:hAnsi="Times New Roman"/>
                <w:color w:val="auto"/>
              </w:rPr>
              <w:t>中主要的噪声源有</w:t>
            </w:r>
            <w:r>
              <w:rPr>
                <w:rFonts w:hint="eastAsia" w:ascii="Times New Roman" w:hAnsi="Times New Roman"/>
                <w:color w:val="auto"/>
                <w:szCs w:val="20"/>
              </w:rPr>
              <w:t>挖掘机、运输车辆</w:t>
            </w:r>
            <w:r>
              <w:rPr>
                <w:rFonts w:ascii="Times New Roman" w:hAnsi="Times New Roman"/>
                <w:color w:val="auto"/>
              </w:rPr>
              <w:t>等，工程施工周期短，施工结束后对周围环境的影响即结束</w:t>
            </w:r>
            <w:r>
              <w:rPr>
                <w:rFonts w:hint="eastAsia" w:ascii="Times New Roman" w:hAnsi="Times New Roman"/>
                <w:color w:val="auto"/>
              </w:rPr>
              <w:t>；</w:t>
            </w:r>
            <w:r>
              <w:rPr>
                <w:rFonts w:ascii="Times New Roman" w:hAnsi="Times New Roman"/>
                <w:color w:val="auto"/>
              </w:rPr>
              <w:t>施工时，采用施工围栏</w:t>
            </w:r>
            <w:r>
              <w:rPr>
                <w:rFonts w:hint="eastAsia" w:ascii="Times New Roman" w:hAnsi="Times New Roman"/>
                <w:color w:val="auto"/>
              </w:rPr>
              <w:t>，</w:t>
            </w:r>
            <w:r>
              <w:rPr>
                <w:rFonts w:ascii="Times New Roman" w:hAnsi="Times New Roman"/>
                <w:color w:val="auto"/>
              </w:rPr>
              <w:t>尽量采用低噪声设备施工，尽量避免夜间施工。</w:t>
            </w:r>
          </w:p>
          <w:p>
            <w:pPr>
              <w:ind w:firstLine="420" w:firstLineChars="200"/>
              <w:rPr>
                <w:rFonts w:hint="eastAsia" w:ascii="Times New Roman" w:hAnsi="Times New Roman"/>
                <w:color w:val="auto"/>
              </w:rPr>
            </w:pPr>
            <w:r>
              <w:rPr>
                <w:rFonts w:ascii="Times New Roman" w:hAnsi="Times New Roman"/>
                <w:color w:val="auto"/>
              </w:rPr>
              <w:t>220kV</w:t>
            </w:r>
            <w:r>
              <w:rPr>
                <w:rFonts w:hint="eastAsia" w:ascii="Times New Roman" w:hAnsi="Times New Roman"/>
                <w:color w:val="auto"/>
              </w:rPr>
              <w:t>线路运行几乎不会产生噪声，不会改变线路周围声环境质量现状。</w:t>
            </w:r>
          </w:p>
        </w:tc>
      </w:tr>
      <w:tr>
        <w:tblPrEx>
          <w:tblLayout w:type="fixed"/>
          <w:tblCellMar>
            <w:top w:w="0" w:type="dxa"/>
            <w:left w:w="108" w:type="dxa"/>
            <w:bottom w:w="0" w:type="dxa"/>
            <w:right w:w="108" w:type="dxa"/>
          </w:tblCellMar>
        </w:tblPrEx>
        <w:trPr>
          <w:cantSplit/>
          <w:trHeight w:val="23" w:hRule="atLeast"/>
          <w:jc w:val="center"/>
        </w:trPr>
        <w:tc>
          <w:tcPr>
            <w:tcW w:w="125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bCs/>
                <w:color w:val="auto"/>
              </w:rPr>
            </w:pPr>
            <w:r>
              <w:rPr>
                <w:rFonts w:ascii="Times New Roman" w:hAnsi="Times New Roman"/>
                <w:b/>
                <w:bCs/>
                <w:color w:val="auto"/>
              </w:rPr>
              <w:t>其  他</w:t>
            </w:r>
          </w:p>
        </w:tc>
        <w:tc>
          <w:tcPr>
            <w:tcW w:w="7999" w:type="dxa"/>
            <w:gridSpan w:val="4"/>
            <w:tcBorders>
              <w:top w:val="single" w:color="auto" w:sz="6" w:space="0"/>
              <w:left w:val="nil"/>
              <w:bottom w:val="single" w:color="auto" w:sz="6" w:space="0"/>
              <w:right w:val="single" w:color="auto" w:sz="6" w:space="0"/>
            </w:tcBorders>
            <w:vAlign w:val="center"/>
          </w:tcPr>
          <w:p>
            <w:pPr>
              <w:ind w:firstLine="420" w:firstLineChars="200"/>
              <w:rPr>
                <w:rFonts w:hint="eastAsia" w:ascii="Times New Roman" w:hAnsi="Times New Roman"/>
                <w:color w:val="auto"/>
              </w:rPr>
            </w:pPr>
            <w:r>
              <w:rPr>
                <w:rFonts w:hint="eastAsia" w:ascii="Times New Roman" w:hAnsi="Times New Roman"/>
                <w:color w:val="auto"/>
              </w:rPr>
              <w:t>无</w:t>
            </w:r>
          </w:p>
        </w:tc>
      </w:tr>
      <w:tr>
        <w:tblPrEx>
          <w:tblLayout w:type="fixed"/>
          <w:tblCellMar>
            <w:top w:w="0" w:type="dxa"/>
            <w:left w:w="108" w:type="dxa"/>
            <w:bottom w:w="0" w:type="dxa"/>
            <w:right w:w="108" w:type="dxa"/>
          </w:tblCellMar>
        </w:tblPrEx>
        <w:trPr>
          <w:cantSplit/>
          <w:trHeight w:val="23" w:hRule="atLeast"/>
          <w:jc w:val="center"/>
        </w:trPr>
        <w:tc>
          <w:tcPr>
            <w:tcW w:w="9251" w:type="dxa"/>
            <w:gridSpan w:val="5"/>
            <w:tcBorders>
              <w:top w:val="single" w:color="auto" w:sz="6" w:space="0"/>
              <w:left w:val="single" w:color="auto" w:sz="6" w:space="0"/>
              <w:bottom w:val="single" w:color="auto" w:sz="6" w:space="0"/>
              <w:right w:val="single" w:color="auto" w:sz="6" w:space="0"/>
            </w:tcBorders>
            <w:vAlign w:val="top"/>
          </w:tcPr>
          <w:p>
            <w:pPr>
              <w:jc w:val="left"/>
              <w:rPr>
                <w:rFonts w:ascii="Times New Roman" w:hAnsi="Times New Roman"/>
                <w:b/>
                <w:bCs/>
                <w:color w:val="auto"/>
              </w:rPr>
            </w:pPr>
            <w:r>
              <w:rPr>
                <w:rFonts w:ascii="Times New Roman" w:hAnsi="Times New Roman"/>
                <w:b/>
                <w:bCs/>
                <w:color w:val="auto"/>
              </w:rPr>
              <w:t>生态保护措施及预期效果</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20" w:firstLineChars="200"/>
              <w:jc w:val="left"/>
              <w:textAlignment w:val="auto"/>
              <w:outlineLvl w:val="9"/>
              <w:rPr>
                <w:rFonts w:ascii="Times New Roman" w:hAnsi="Times New Roman"/>
                <w:color w:val="auto"/>
                <w:szCs w:val="20"/>
              </w:rPr>
            </w:pPr>
            <w:r>
              <w:rPr>
                <w:rFonts w:ascii="Times New Roman" w:hAnsi="Times New Roman"/>
                <w:color w:val="auto"/>
                <w:szCs w:val="20"/>
              </w:rPr>
              <w:t>本工程线路</w:t>
            </w:r>
            <w:r>
              <w:rPr>
                <w:rFonts w:hint="eastAsia" w:ascii="Times New Roman" w:hAnsi="Times New Roman"/>
                <w:snapToGrid w:val="0"/>
                <w:color w:val="auto"/>
                <w:szCs w:val="20"/>
              </w:rPr>
              <w:t>全线长约</w:t>
            </w:r>
            <w:r>
              <w:rPr>
                <w:rFonts w:hint="eastAsia" w:ascii="Times New Roman" w:hAnsi="Times New Roman"/>
                <w:snapToGrid w:val="0"/>
                <w:color w:val="auto"/>
                <w:szCs w:val="20"/>
                <w:lang w:val="en-US" w:eastAsia="zh-CN"/>
              </w:rPr>
              <w:t>2×</w:t>
            </w:r>
            <w:r>
              <w:rPr>
                <w:rFonts w:hint="eastAsia" w:ascii="Times New Roman" w:hAnsi="Times New Roman"/>
                <w:color w:val="auto"/>
                <w:szCs w:val="20"/>
                <w:lang w:val="en-US" w:eastAsia="zh-CN"/>
              </w:rPr>
              <w:t>55</w:t>
            </w:r>
            <w:r>
              <w:rPr>
                <w:rFonts w:hint="eastAsia" w:ascii="Times New Roman" w:hAnsi="Times New Roman"/>
                <w:color w:val="auto"/>
                <w:szCs w:val="20"/>
              </w:rPr>
              <w:t>km，</w:t>
            </w:r>
            <w:r>
              <w:rPr>
                <w:rFonts w:hint="eastAsia" w:ascii="Times New Roman" w:hAnsi="Times New Roman"/>
                <w:color w:val="auto"/>
                <w:lang w:eastAsia="zh-CN"/>
              </w:rPr>
              <w:t>线路沿线</w:t>
            </w:r>
            <w:r>
              <w:rPr>
                <w:rFonts w:ascii="Times New Roman" w:hAnsi="Times New Roman"/>
                <w:color w:val="auto"/>
                <w:szCs w:val="20"/>
              </w:rPr>
              <w:t>以平地为主，在南渡江两岸和东路镇</w:t>
            </w:r>
            <w:r>
              <w:rPr>
                <w:rFonts w:hint="eastAsia" w:ascii="Times New Roman" w:hAnsi="Times New Roman"/>
                <w:color w:val="auto"/>
                <w:szCs w:val="20"/>
                <w:lang w:val="en-US" w:eastAsia="zh-CN"/>
              </w:rPr>
              <w:t>220kV</w:t>
            </w:r>
            <w:r>
              <w:rPr>
                <w:rFonts w:ascii="Times New Roman" w:hAnsi="Times New Roman"/>
                <w:color w:val="auto"/>
                <w:szCs w:val="20"/>
              </w:rPr>
              <w:t>东路变电站北侧线路沿线有部分泥沼。沿线植被主要有</w:t>
            </w:r>
            <w:r>
              <w:rPr>
                <w:rFonts w:hint="default" w:ascii="Times New Roman" w:hAnsi="Times New Roman" w:cs="Times New Roman"/>
                <w:color w:val="auto"/>
                <w:sz w:val="21"/>
                <w:szCs w:val="21"/>
              </w:rPr>
              <w:t>多以种植水稻、蔬菜为主，局部开挖成鱼塘</w:t>
            </w:r>
            <w:r>
              <w:rPr>
                <w:rFonts w:ascii="Times New Roman" w:hAnsi="Times New Roman"/>
                <w:color w:val="auto"/>
                <w:szCs w:val="20"/>
              </w:rPr>
              <w:t>，</w:t>
            </w:r>
            <w:r>
              <w:rPr>
                <w:rFonts w:hint="default" w:ascii="Times New Roman" w:hAnsi="Times New Roman" w:cs="Times New Roman"/>
                <w:color w:val="auto"/>
                <w:sz w:val="21"/>
                <w:szCs w:val="21"/>
              </w:rPr>
              <w:t>多种植有橡胶、椰子、芒果、荔枝、菠萝密、咖啡、黄皮、莲雾、槟榔等经济作物</w:t>
            </w:r>
            <w:r>
              <w:rPr>
                <w:rFonts w:ascii="Times New Roman" w:hAnsi="Times New Roman"/>
                <w:color w:val="auto"/>
              </w:rPr>
              <w:t>。</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20" w:firstLineChars="200"/>
              <w:jc w:val="left"/>
              <w:textAlignment w:val="auto"/>
              <w:outlineLvl w:val="9"/>
              <w:rPr>
                <w:rFonts w:ascii="Times New Roman" w:hAnsi="Times New Roman"/>
                <w:color w:val="auto"/>
                <w:szCs w:val="20"/>
              </w:rPr>
            </w:pPr>
            <w:r>
              <w:rPr>
                <w:rFonts w:hint="eastAsia" w:ascii="Times New Roman" w:hAnsi="Times New Roman"/>
                <w:color w:val="auto"/>
                <w:szCs w:val="20"/>
                <w:lang w:eastAsia="zh-CN"/>
              </w:rPr>
              <w:t>施工期</w:t>
            </w:r>
            <w:r>
              <w:rPr>
                <w:rFonts w:ascii="Times New Roman" w:hAnsi="Times New Roman"/>
                <w:color w:val="auto"/>
                <w:szCs w:val="20"/>
              </w:rPr>
              <w:t>应避免大开挖塔基基面，尽量保持原有地形地貌。施工中采用牵张放线，</w:t>
            </w:r>
            <w:r>
              <w:rPr>
                <w:rFonts w:hint="eastAsia" w:ascii="Times New Roman" w:hAnsi="Times New Roman"/>
                <w:color w:val="auto"/>
                <w:szCs w:val="20"/>
              </w:rPr>
              <w:t>高塔跨越，</w:t>
            </w:r>
            <w:r>
              <w:rPr>
                <w:rFonts w:ascii="Times New Roman" w:hAnsi="Times New Roman"/>
                <w:color w:val="auto"/>
                <w:szCs w:val="20"/>
              </w:rPr>
              <w:t>减少林木砍伐，尽量维持原有生态环境。</w:t>
            </w:r>
            <w:r>
              <w:rPr>
                <w:rFonts w:ascii="Times New Roman" w:hAnsi="Times New Roman"/>
                <w:color w:val="auto"/>
              </w:rPr>
              <w:t>施工结束后，对塔基永久占地、杆塔塔基处等未固化处进行复耕，对临时占地进行植被恢复，对新建杆塔等开挖地表及时覆土，有助于植被恢复，植被恢复时应选择本地树草种进行恢复，避免引入外来物种。</w:t>
            </w:r>
            <w:r>
              <w:rPr>
                <w:rFonts w:ascii="Times New Roman" w:hAnsi="Times New Roman"/>
                <w:color w:val="auto"/>
                <w:szCs w:val="20"/>
              </w:rPr>
              <w:t>线路</w:t>
            </w:r>
            <w:r>
              <w:rPr>
                <w:rFonts w:hint="eastAsia" w:ascii="Times New Roman" w:hAnsi="Times New Roman" w:cs="Times New Roman"/>
                <w:color w:val="auto"/>
                <w:sz w:val="21"/>
                <w:szCs w:val="21"/>
                <w:lang w:eastAsia="zh-CN"/>
              </w:rPr>
              <w:t>穿越</w:t>
            </w:r>
            <w:r>
              <w:rPr>
                <w:rFonts w:hint="eastAsia" w:ascii="Times New Roman" w:hAnsi="Times New Roman" w:cs="Times New Roman"/>
                <w:color w:val="auto"/>
                <w:sz w:val="21"/>
                <w:szCs w:val="21"/>
                <w:lang w:val="en-US" w:eastAsia="zh-CN"/>
              </w:rPr>
              <w:t>4</w:t>
            </w:r>
            <w:r>
              <w:rPr>
                <w:rFonts w:hint="eastAsia" w:ascii="Times New Roman" w:hAnsi="Times New Roman" w:cs="Times New Roman"/>
                <w:color w:val="auto"/>
                <w:sz w:val="21"/>
                <w:szCs w:val="21"/>
                <w:lang w:eastAsia="zh-CN"/>
              </w:rPr>
              <w:t>处海南省省级生态保护红线区、南渡江龙塘饮用水水源保护区二级水域及陆域和准保护区水域及陆域及依附南渡江支流形成的新旧沟湿地乡村公园和羊山湿地多用途管理区，一档跨越新旧沟湿地保护小区和海口三十六曲溪省级湿地公园，且部分海南省省级生态保护红线区与水源保护区、湿地公园及羊山多用途管理区规划范围重合，共计拟立塔</w:t>
            </w:r>
            <w:r>
              <w:rPr>
                <w:rFonts w:hint="eastAsia" w:ascii="Times New Roman" w:hAnsi="Times New Roman" w:cs="Times New Roman"/>
                <w:color w:val="auto"/>
                <w:sz w:val="21"/>
                <w:szCs w:val="21"/>
                <w:lang w:val="en-US" w:eastAsia="zh-CN"/>
              </w:rPr>
              <w:t>49基</w:t>
            </w:r>
            <w:r>
              <w:rPr>
                <w:rFonts w:hint="eastAsia" w:ascii="Times New Roman" w:hAnsi="Times New Roman" w:cs="Times New Roman"/>
                <w:color w:val="auto"/>
                <w:sz w:val="21"/>
                <w:szCs w:val="21"/>
                <w:lang w:eastAsia="zh-CN"/>
              </w:rPr>
              <w:t>。施工时</w:t>
            </w:r>
            <w:r>
              <w:rPr>
                <w:rFonts w:ascii="Times New Roman" w:hAnsi="Times New Roman"/>
                <w:color w:val="auto"/>
              </w:rPr>
              <w:t>，临时占地远离</w:t>
            </w:r>
            <w:r>
              <w:rPr>
                <w:rFonts w:hint="eastAsia" w:ascii="Times New Roman" w:hAnsi="Times New Roman"/>
                <w:color w:val="auto"/>
                <w:lang w:eastAsia="zh-CN"/>
              </w:rPr>
              <w:t>这些敏感区规划范围</w:t>
            </w:r>
            <w:r>
              <w:rPr>
                <w:rFonts w:ascii="Times New Roman" w:hAnsi="Times New Roman"/>
                <w:color w:val="auto"/>
              </w:rPr>
              <w:t>，</w:t>
            </w:r>
            <w:r>
              <w:rPr>
                <w:rFonts w:hint="eastAsia"/>
                <w:color w:val="auto"/>
              </w:rPr>
              <w:t>除了设置必要的塔基施工场地外，禁止设置弃土弃渣场</w:t>
            </w:r>
            <w:r>
              <w:rPr>
                <w:rFonts w:hint="eastAsia"/>
                <w:color w:val="auto"/>
                <w:lang w:eastAsia="zh-CN"/>
              </w:rPr>
              <w:t>、</w:t>
            </w:r>
            <w:r>
              <w:rPr>
                <w:rFonts w:hint="eastAsia"/>
                <w:bCs/>
                <w:color w:val="auto"/>
              </w:rPr>
              <w:t>材料场、堆料场</w:t>
            </w:r>
            <w:r>
              <w:rPr>
                <w:rFonts w:hint="eastAsia"/>
                <w:color w:val="auto"/>
              </w:rPr>
              <w:t>和施工生活区</w:t>
            </w:r>
            <w:r>
              <w:rPr>
                <w:rFonts w:hint="eastAsia"/>
                <w:bCs/>
                <w:color w:val="auto"/>
              </w:rPr>
              <w:t>等临时</w:t>
            </w:r>
            <w:r>
              <w:rPr>
                <w:rFonts w:hint="eastAsia"/>
                <w:bCs/>
                <w:color w:val="auto"/>
                <w:lang w:eastAsia="zh-CN"/>
              </w:rPr>
              <w:t>用地，</w:t>
            </w:r>
            <w:r>
              <w:rPr>
                <w:rFonts w:ascii="Times New Roman" w:hAnsi="Times New Roman"/>
                <w:color w:val="auto"/>
              </w:rPr>
              <w:t>严禁乱堆弃土弃渣。</w:t>
            </w:r>
            <w:r>
              <w:rPr>
                <w:rFonts w:ascii="Times New Roman" w:hAnsi="Times New Roman"/>
                <w:color w:val="auto"/>
                <w:szCs w:val="20"/>
              </w:rPr>
              <w:t>本次输电线路工程</w:t>
            </w:r>
            <w:r>
              <w:rPr>
                <w:rFonts w:ascii="Times New Roman" w:hAnsi="Times New Roman"/>
                <w:color w:val="auto"/>
              </w:rPr>
              <w:t>实际扰动区为点状分布，且线路塔基仅四角占地</w:t>
            </w:r>
            <w:r>
              <w:rPr>
                <w:rFonts w:ascii="Times New Roman" w:hAnsi="Times New Roman"/>
                <w:color w:val="auto"/>
                <w:szCs w:val="20"/>
              </w:rPr>
              <w:t>，项目建设对区域生态环境影响有限。</w:t>
            </w:r>
          </w:p>
        </w:tc>
      </w:tr>
    </w:tbl>
    <w:p>
      <w:pPr>
        <w:pStyle w:val="6"/>
        <w:spacing w:before="0" w:after="0" w:line="240" w:lineRule="auto"/>
        <w:rPr>
          <w:color w:val="auto"/>
          <w:sz w:val="28"/>
          <w:szCs w:val="28"/>
        </w:rPr>
      </w:pPr>
      <w:r>
        <w:rPr>
          <w:color w:val="auto"/>
        </w:rPr>
        <w:br w:type="page"/>
      </w:r>
      <w:bookmarkStart w:id="37" w:name="_Toc522457755"/>
      <w:bookmarkStart w:id="38" w:name="_Toc339020827"/>
      <w:r>
        <w:rPr>
          <w:rFonts w:hint="eastAsia"/>
          <w:color w:val="auto"/>
          <w:sz w:val="28"/>
          <w:szCs w:val="28"/>
        </w:rPr>
        <w:t>9</w:t>
      </w:r>
      <w:r>
        <w:rPr>
          <w:color w:val="auto"/>
          <w:sz w:val="28"/>
          <w:szCs w:val="28"/>
        </w:rPr>
        <w:t>环境管理</w:t>
      </w:r>
      <w:r>
        <w:rPr>
          <w:rFonts w:hint="eastAsia"/>
          <w:color w:val="auto"/>
          <w:sz w:val="28"/>
          <w:szCs w:val="28"/>
        </w:rPr>
        <w:t>与监测计划</w:t>
      </w:r>
      <w:bookmarkEnd w:id="37"/>
      <w:bookmarkEnd w:id="38"/>
    </w:p>
    <w:tbl>
      <w:tblPr>
        <w:tblStyle w:val="50"/>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05" w:hRule="atLeast"/>
        </w:trPr>
        <w:tc>
          <w:tcPr>
            <w:tcW w:w="8856" w:type="dxa"/>
            <w:vAlign w:val="top"/>
          </w:tcPr>
          <w:p>
            <w:pPr>
              <w:spacing w:line="360" w:lineRule="auto"/>
              <w:outlineLvl w:val="1"/>
              <w:rPr>
                <w:rFonts w:hint="eastAsia" w:ascii="Times New Roman" w:hAnsi="Times New Roman"/>
                <w:b/>
                <w:color w:val="auto"/>
                <w:sz w:val="24"/>
                <w:szCs w:val="24"/>
              </w:rPr>
            </w:pPr>
            <w:r>
              <w:rPr>
                <w:rFonts w:hint="eastAsia" w:ascii="Times New Roman" w:hAnsi="Times New Roman"/>
                <w:b/>
                <w:color w:val="auto"/>
                <w:sz w:val="24"/>
                <w:szCs w:val="24"/>
              </w:rPr>
              <w:t>9.1环境管理</w:t>
            </w:r>
          </w:p>
          <w:p>
            <w:pPr>
              <w:spacing w:line="360" w:lineRule="auto"/>
              <w:ind w:firstLine="420" w:firstLineChars="200"/>
              <w:rPr>
                <w:rFonts w:hint="eastAsia" w:ascii="Times New Roman" w:hAnsi="Times New Roman"/>
                <w:color w:val="auto"/>
                <w:szCs w:val="24"/>
              </w:rPr>
            </w:pPr>
            <w:r>
              <w:rPr>
                <w:rFonts w:hint="eastAsia" w:ascii="Times New Roman" w:hAnsi="Times New Roman"/>
                <w:color w:val="auto"/>
                <w:szCs w:val="24"/>
              </w:rPr>
              <w:t>对本次输变电工程，建设单位应指定或兼职人员具体负责执行有关的环境保护对策措施，并接受有关部门的监督和管理。监理单位在施工期间应协助地方环保行政主管部门加强对施工单位环境保护对策措施落实情况的监督和管理。</w:t>
            </w:r>
          </w:p>
          <w:p>
            <w:pPr>
              <w:spacing w:line="360" w:lineRule="auto"/>
              <w:rPr>
                <w:rFonts w:hint="eastAsia" w:ascii="Times New Roman" w:hAnsi="Times New Roman"/>
                <w:b/>
                <w:color w:val="auto"/>
                <w:szCs w:val="24"/>
              </w:rPr>
            </w:pPr>
            <w:r>
              <w:rPr>
                <w:rFonts w:hint="eastAsia" w:ascii="Times New Roman" w:hAnsi="Times New Roman"/>
                <w:b/>
                <w:color w:val="auto"/>
                <w:szCs w:val="24"/>
              </w:rPr>
              <w:t>9.1.1施工期的环境管理</w:t>
            </w:r>
          </w:p>
          <w:p>
            <w:pPr>
              <w:spacing w:line="360" w:lineRule="auto"/>
              <w:ind w:firstLine="420" w:firstLineChars="200"/>
              <w:rPr>
                <w:rFonts w:hint="eastAsia" w:ascii="Times New Roman" w:hAnsi="Times New Roman"/>
                <w:color w:val="auto"/>
                <w:szCs w:val="24"/>
              </w:rPr>
            </w:pPr>
            <w:r>
              <w:rPr>
                <w:rFonts w:hint="eastAsia" w:ascii="Times New Roman" w:hAnsi="Times New Roman"/>
                <w:color w:val="auto"/>
                <w:szCs w:val="24"/>
              </w:rPr>
              <w:t>监测施工期对临时占用的土地的植被环境影响，并监督施工单位要少占用土地，对临时征用土地应及时恢复植被。</w:t>
            </w:r>
          </w:p>
          <w:p>
            <w:pPr>
              <w:spacing w:line="360" w:lineRule="auto"/>
              <w:rPr>
                <w:rFonts w:hint="eastAsia" w:ascii="Times New Roman" w:hAnsi="Times New Roman"/>
                <w:b/>
                <w:color w:val="auto"/>
                <w:szCs w:val="24"/>
              </w:rPr>
            </w:pPr>
            <w:r>
              <w:rPr>
                <w:rFonts w:hint="eastAsia" w:ascii="Times New Roman" w:hAnsi="Times New Roman"/>
                <w:b/>
                <w:color w:val="auto"/>
                <w:szCs w:val="24"/>
              </w:rPr>
              <w:t>9.1.2运行期的环境管理</w:t>
            </w:r>
          </w:p>
          <w:p>
            <w:pPr>
              <w:spacing w:line="360" w:lineRule="auto"/>
              <w:ind w:firstLine="420" w:firstLineChars="200"/>
              <w:rPr>
                <w:rFonts w:hint="eastAsia" w:ascii="Times New Roman" w:hAnsi="Times New Roman"/>
                <w:color w:val="auto"/>
                <w:szCs w:val="24"/>
              </w:rPr>
            </w:pPr>
            <w:r>
              <w:rPr>
                <w:rFonts w:hint="eastAsia" w:ascii="Times New Roman" w:hAnsi="Times New Roman"/>
                <w:color w:val="auto"/>
                <w:szCs w:val="24"/>
              </w:rPr>
              <w:t>建设单位的兼职环保人员对输变电工程的建设、生产全过程实行监督管理，其主要工作内容如下：</w:t>
            </w:r>
          </w:p>
          <w:p>
            <w:pPr>
              <w:spacing w:line="360" w:lineRule="auto"/>
              <w:ind w:firstLine="420" w:firstLineChars="200"/>
              <w:rPr>
                <w:rFonts w:hint="eastAsia" w:ascii="Times New Roman" w:hAnsi="Times New Roman"/>
                <w:color w:val="auto"/>
                <w:szCs w:val="24"/>
              </w:rPr>
            </w:pPr>
            <w:r>
              <w:rPr>
                <w:rFonts w:hint="eastAsia" w:ascii="Times New Roman" w:hAnsi="Times New Roman"/>
                <w:color w:val="auto"/>
                <w:szCs w:val="24"/>
              </w:rPr>
              <w:t>（1）负责办理建设项目的环保报批手续。</w:t>
            </w:r>
          </w:p>
          <w:p>
            <w:pPr>
              <w:spacing w:line="360" w:lineRule="auto"/>
              <w:ind w:firstLine="420" w:firstLineChars="200"/>
              <w:rPr>
                <w:rFonts w:hint="eastAsia" w:ascii="Times New Roman" w:hAnsi="Times New Roman"/>
                <w:color w:val="auto"/>
                <w:szCs w:val="24"/>
              </w:rPr>
            </w:pPr>
            <w:r>
              <w:rPr>
                <w:rFonts w:hint="eastAsia" w:ascii="Times New Roman" w:hAnsi="Times New Roman"/>
                <w:color w:val="auto"/>
                <w:szCs w:val="24"/>
              </w:rPr>
              <w:t>（2）参与制定建设项目环保治理方案和竣工验收等工作。</w:t>
            </w:r>
          </w:p>
          <w:p>
            <w:pPr>
              <w:spacing w:line="360" w:lineRule="auto"/>
              <w:ind w:firstLine="420" w:firstLineChars="200"/>
              <w:rPr>
                <w:rFonts w:hint="eastAsia" w:ascii="Times New Roman" w:hAnsi="Times New Roman"/>
                <w:color w:val="auto"/>
                <w:szCs w:val="24"/>
              </w:rPr>
            </w:pPr>
            <w:r>
              <w:rPr>
                <w:rFonts w:hint="eastAsia" w:ascii="Times New Roman" w:hAnsi="Times New Roman"/>
                <w:color w:val="auto"/>
                <w:szCs w:val="24"/>
              </w:rPr>
              <w:t>（3）检查、监督项目环保治理措施在建设过程中的落实情况。</w:t>
            </w:r>
          </w:p>
          <w:p>
            <w:pPr>
              <w:spacing w:line="360" w:lineRule="auto"/>
              <w:ind w:firstLine="420" w:firstLineChars="200"/>
              <w:rPr>
                <w:rFonts w:hint="eastAsia" w:ascii="Times New Roman" w:hAnsi="Times New Roman"/>
                <w:color w:val="auto"/>
                <w:szCs w:val="24"/>
              </w:rPr>
            </w:pPr>
            <w:r>
              <w:rPr>
                <w:rFonts w:hint="eastAsia" w:ascii="Times New Roman" w:hAnsi="Times New Roman"/>
                <w:color w:val="auto"/>
                <w:szCs w:val="24"/>
              </w:rPr>
              <w:t>（4）在建设项目投运后，负责组织实施环境监测计划。</w:t>
            </w:r>
          </w:p>
          <w:p>
            <w:pPr>
              <w:spacing w:line="360" w:lineRule="auto"/>
              <w:outlineLvl w:val="1"/>
              <w:rPr>
                <w:rFonts w:hint="eastAsia" w:ascii="Times New Roman" w:hAnsi="Times New Roman"/>
                <w:b/>
                <w:color w:val="auto"/>
                <w:sz w:val="24"/>
                <w:szCs w:val="24"/>
              </w:rPr>
            </w:pPr>
            <w:r>
              <w:rPr>
                <w:rFonts w:hint="eastAsia" w:ascii="Times New Roman" w:hAnsi="Times New Roman"/>
                <w:b/>
                <w:color w:val="auto"/>
                <w:sz w:val="24"/>
                <w:szCs w:val="24"/>
              </w:rPr>
              <w:t>9.2环境监测</w:t>
            </w:r>
          </w:p>
          <w:p>
            <w:pPr>
              <w:spacing w:line="360" w:lineRule="auto"/>
              <w:rPr>
                <w:rFonts w:hint="eastAsia" w:ascii="Times New Roman" w:hAnsi="Times New Roman"/>
                <w:b/>
                <w:color w:val="auto"/>
                <w:szCs w:val="24"/>
              </w:rPr>
            </w:pPr>
            <w:r>
              <w:rPr>
                <w:rFonts w:hint="eastAsia" w:ascii="Times New Roman" w:hAnsi="Times New Roman"/>
                <w:b/>
                <w:color w:val="auto"/>
                <w:szCs w:val="24"/>
              </w:rPr>
              <w:t>9.2.1环境监测任务</w:t>
            </w:r>
          </w:p>
          <w:p>
            <w:pPr>
              <w:snapToGrid w:val="0"/>
              <w:spacing w:line="440" w:lineRule="exact"/>
              <w:ind w:firstLine="435"/>
              <w:contextualSpacing/>
              <w:rPr>
                <w:rFonts w:ascii="Times New Roman" w:hAnsi="Times New Roman"/>
                <w:color w:val="auto"/>
              </w:rPr>
            </w:pPr>
            <w:bookmarkStart w:id="39" w:name="_Toc326924327"/>
            <w:bookmarkStart w:id="40" w:name="_Toc327186805"/>
            <w:r>
              <w:rPr>
                <w:rFonts w:ascii="Times New Roman" w:hAnsi="Times New Roman"/>
                <w:color w:val="auto"/>
              </w:rPr>
              <w:t>本工程建成投产后，由建设单位委托有资质的单位进行监测及验收</w:t>
            </w:r>
            <w:bookmarkEnd w:id="39"/>
            <w:bookmarkEnd w:id="40"/>
            <w:bookmarkStart w:id="41" w:name="_Toc101838982"/>
            <w:bookmarkStart w:id="42" w:name="_Toc114652164"/>
            <w:bookmarkStart w:id="43" w:name="_Toc201641247"/>
            <w:bookmarkStart w:id="44" w:name="_Toc121137508"/>
            <w:bookmarkStart w:id="45" w:name="_Toc148169314"/>
            <w:r>
              <w:rPr>
                <w:rFonts w:ascii="Times New Roman" w:hAnsi="Times New Roman"/>
                <w:color w:val="auto"/>
              </w:rPr>
              <w:t>，并对工程突发性环境事件进行跟踪监测调查。</w:t>
            </w:r>
          </w:p>
          <w:p>
            <w:pPr>
              <w:pStyle w:val="55"/>
              <w:snapToGrid w:val="0"/>
              <w:ind w:firstLine="0"/>
              <w:contextualSpacing/>
              <w:rPr>
                <w:rFonts w:ascii="Times New Roman"/>
                <w:b/>
                <w:color w:val="auto"/>
              </w:rPr>
            </w:pPr>
            <w:r>
              <w:rPr>
                <w:rFonts w:hint="eastAsia" w:ascii="Times New Roman"/>
                <w:b/>
                <w:color w:val="auto"/>
              </w:rPr>
              <w:t>9</w:t>
            </w:r>
            <w:r>
              <w:rPr>
                <w:rFonts w:ascii="Times New Roman"/>
                <w:b/>
                <w:color w:val="auto"/>
              </w:rPr>
              <w:t>.</w:t>
            </w:r>
            <w:bookmarkEnd w:id="41"/>
            <w:bookmarkEnd w:id="42"/>
            <w:bookmarkEnd w:id="43"/>
            <w:bookmarkEnd w:id="44"/>
            <w:bookmarkEnd w:id="45"/>
            <w:r>
              <w:rPr>
                <w:rFonts w:ascii="Times New Roman"/>
                <w:b/>
                <w:color w:val="auto"/>
              </w:rPr>
              <w:t>2.2监测项目</w:t>
            </w:r>
          </w:p>
          <w:p>
            <w:pPr>
              <w:snapToGrid w:val="0"/>
              <w:spacing w:line="440" w:lineRule="exact"/>
              <w:ind w:firstLine="420" w:firstLineChars="200"/>
              <w:contextualSpacing/>
              <w:rPr>
                <w:rFonts w:ascii="Times New Roman" w:hAnsi="Times New Roman"/>
                <w:color w:val="auto"/>
              </w:rPr>
            </w:pPr>
            <w:r>
              <w:rPr>
                <w:rFonts w:ascii="Times New Roman" w:hAnsi="Times New Roman"/>
                <w:color w:val="auto"/>
              </w:rPr>
              <w:t>（1）地面1.5m高处的工频电场强度、工频磁感应强度。</w:t>
            </w:r>
          </w:p>
          <w:p>
            <w:pPr>
              <w:snapToGrid w:val="0"/>
              <w:spacing w:line="440" w:lineRule="exact"/>
              <w:ind w:firstLine="420" w:firstLineChars="200"/>
              <w:contextualSpacing/>
              <w:rPr>
                <w:rFonts w:ascii="Times New Roman" w:hAnsi="Times New Roman"/>
                <w:color w:val="auto"/>
              </w:rPr>
            </w:pPr>
            <w:r>
              <w:rPr>
                <w:rFonts w:ascii="Times New Roman" w:hAnsi="Times New Roman"/>
                <w:color w:val="auto"/>
              </w:rPr>
              <w:t>（2）等效连续A声级。</w:t>
            </w:r>
          </w:p>
          <w:p>
            <w:pPr>
              <w:pStyle w:val="55"/>
              <w:snapToGrid w:val="0"/>
              <w:ind w:firstLine="0"/>
              <w:contextualSpacing/>
              <w:rPr>
                <w:rFonts w:ascii="Times New Roman"/>
                <w:b/>
                <w:color w:val="auto"/>
              </w:rPr>
            </w:pPr>
            <w:r>
              <w:rPr>
                <w:rFonts w:hint="eastAsia" w:ascii="Times New Roman"/>
                <w:b/>
                <w:color w:val="auto"/>
              </w:rPr>
              <w:t>9</w:t>
            </w:r>
            <w:r>
              <w:rPr>
                <w:rFonts w:ascii="Times New Roman"/>
                <w:b/>
                <w:color w:val="auto"/>
              </w:rPr>
              <w:t>.2.3监测技术要求</w:t>
            </w:r>
          </w:p>
          <w:p>
            <w:pPr>
              <w:spacing w:line="360" w:lineRule="auto"/>
              <w:ind w:firstLine="420" w:firstLineChars="200"/>
              <w:rPr>
                <w:rFonts w:hint="eastAsia" w:ascii="Times New Roman" w:hAnsi="Times New Roman"/>
                <w:color w:val="auto"/>
                <w:szCs w:val="24"/>
              </w:rPr>
            </w:pPr>
            <w:r>
              <w:rPr>
                <w:rFonts w:hint="eastAsia" w:ascii="Times New Roman" w:hAnsi="Times New Roman"/>
                <w:color w:val="auto"/>
                <w:szCs w:val="24"/>
              </w:rPr>
              <w:t>根据竣工环境保护验收的技术要求进行监测。</w:t>
            </w:r>
          </w:p>
          <w:p>
            <w:pPr>
              <w:spacing w:line="360" w:lineRule="auto"/>
              <w:ind w:firstLine="420" w:firstLineChars="200"/>
              <w:rPr>
                <w:rFonts w:ascii="Times New Roman" w:hAnsi="Times New Roman"/>
                <w:color w:val="auto"/>
                <w:szCs w:val="24"/>
              </w:rPr>
            </w:pPr>
            <w:r>
              <w:rPr>
                <w:rFonts w:ascii="Times New Roman" w:hAnsi="Times New Roman"/>
                <w:color w:val="auto"/>
                <w:szCs w:val="24"/>
              </w:rPr>
              <w:t>本工程运行后监测项目主要为：工频电场、工频磁场和噪声。</w:t>
            </w:r>
          </w:p>
          <w:p>
            <w:pPr>
              <w:spacing w:line="360" w:lineRule="auto"/>
              <w:ind w:firstLine="420" w:firstLineChars="200"/>
              <w:rPr>
                <w:rFonts w:ascii="Times New Roman" w:hAnsi="Times New Roman"/>
                <w:color w:val="auto"/>
                <w:szCs w:val="24"/>
              </w:rPr>
            </w:pPr>
            <w:r>
              <w:rPr>
                <w:rFonts w:ascii="Times New Roman" w:hAnsi="Times New Roman"/>
                <w:color w:val="auto"/>
                <w:szCs w:val="24"/>
              </w:rPr>
              <w:t>（</w:t>
            </w:r>
            <w:r>
              <w:rPr>
                <w:rFonts w:hint="eastAsia" w:ascii="Times New Roman" w:hAnsi="Times New Roman"/>
                <w:color w:val="auto"/>
                <w:szCs w:val="24"/>
                <w:lang w:val="en-US" w:eastAsia="zh-CN"/>
              </w:rPr>
              <w:t>1</w:t>
            </w:r>
            <w:r>
              <w:rPr>
                <w:rFonts w:ascii="Times New Roman" w:hAnsi="Times New Roman"/>
                <w:color w:val="auto"/>
                <w:szCs w:val="24"/>
              </w:rPr>
              <w:t>）工频电场、工频磁场</w:t>
            </w:r>
          </w:p>
          <w:p>
            <w:pPr>
              <w:spacing w:line="360" w:lineRule="auto"/>
              <w:ind w:firstLine="420" w:firstLineChars="200"/>
              <w:rPr>
                <w:rFonts w:ascii="Times New Roman" w:hAnsi="Times New Roman"/>
                <w:color w:val="auto"/>
                <w:szCs w:val="24"/>
              </w:rPr>
            </w:pPr>
            <w:r>
              <w:rPr>
                <w:rFonts w:ascii="Times New Roman" w:hAnsi="Times New Roman"/>
                <w:color w:val="auto"/>
                <w:szCs w:val="24"/>
              </w:rPr>
              <w:t>线路监测点位与现状监测点位相同，同时在导线距地最小处布设监测断面，工频电场强度、工频磁感应强度以线路走廊中心线为起点，测点间距为5m，距地面1.5m高度，测至距线路边导线外50m处为止。</w:t>
            </w:r>
          </w:p>
          <w:p>
            <w:pPr>
              <w:spacing w:line="360" w:lineRule="auto"/>
              <w:ind w:firstLine="420" w:firstLineChars="200"/>
              <w:rPr>
                <w:rFonts w:ascii="Times New Roman" w:hAnsi="Times New Roman"/>
                <w:color w:val="auto"/>
                <w:szCs w:val="24"/>
              </w:rPr>
            </w:pPr>
            <w:r>
              <w:rPr>
                <w:rFonts w:ascii="Times New Roman" w:hAnsi="Times New Roman"/>
                <w:color w:val="auto"/>
                <w:szCs w:val="24"/>
              </w:rPr>
              <w:t>（</w:t>
            </w:r>
            <w:r>
              <w:rPr>
                <w:rFonts w:hint="eastAsia" w:ascii="Times New Roman" w:hAnsi="Times New Roman"/>
                <w:color w:val="auto"/>
                <w:szCs w:val="24"/>
                <w:lang w:val="en-US" w:eastAsia="zh-CN"/>
              </w:rPr>
              <w:t>2</w:t>
            </w:r>
            <w:r>
              <w:rPr>
                <w:rFonts w:ascii="Times New Roman" w:hAnsi="Times New Roman"/>
                <w:color w:val="auto"/>
                <w:szCs w:val="24"/>
              </w:rPr>
              <w:t>）噪声</w:t>
            </w:r>
          </w:p>
          <w:p>
            <w:pPr>
              <w:spacing w:line="360" w:lineRule="auto"/>
              <w:ind w:firstLine="420" w:firstLineChars="200"/>
              <w:rPr>
                <w:rFonts w:ascii="Times New Roman" w:hAnsi="Times New Roman"/>
                <w:color w:val="auto"/>
                <w:szCs w:val="24"/>
              </w:rPr>
            </w:pPr>
            <w:r>
              <w:rPr>
                <w:rFonts w:ascii="Times New Roman" w:hAnsi="Times New Roman"/>
                <w:color w:val="auto"/>
                <w:szCs w:val="24"/>
              </w:rPr>
              <w:t>线路声环境监测断面布设同电磁环境监测。</w:t>
            </w:r>
          </w:p>
          <w:p>
            <w:pPr>
              <w:jc w:val="center"/>
              <w:rPr>
                <w:rFonts w:ascii="Times New Roman" w:hAnsi="Times New Roman"/>
                <w:b/>
                <w:color w:val="auto"/>
              </w:rPr>
            </w:pPr>
            <w:r>
              <w:rPr>
                <w:rFonts w:ascii="Times New Roman"/>
                <w:b/>
                <w:bCs/>
                <w:iCs/>
                <w:color w:val="auto"/>
              </w:rPr>
              <w:t>表</w:t>
            </w:r>
            <w:r>
              <w:rPr>
                <w:rFonts w:hint="eastAsia" w:ascii="Times New Roman" w:hAnsi="Times New Roman"/>
                <w:b/>
                <w:bCs/>
                <w:iCs/>
                <w:color w:val="auto"/>
              </w:rPr>
              <w:t>9</w:t>
            </w:r>
            <w:r>
              <w:rPr>
                <w:rFonts w:ascii="Times New Roman" w:hAnsi="Times New Roman"/>
                <w:b/>
                <w:bCs/>
                <w:iCs/>
                <w:color w:val="auto"/>
              </w:rPr>
              <w:t xml:space="preserve">-1  </w:t>
            </w:r>
            <w:r>
              <w:rPr>
                <w:rFonts w:ascii="Times New Roman"/>
                <w:b/>
                <w:bCs/>
                <w:iCs/>
                <w:color w:val="auto"/>
              </w:rPr>
              <w:t>本工程</w:t>
            </w:r>
            <w:r>
              <w:rPr>
                <w:rFonts w:ascii="Times New Roman"/>
                <w:b/>
                <w:color w:val="auto"/>
              </w:rPr>
              <w:t>项目竣工环境保护验收一览表</w:t>
            </w:r>
          </w:p>
          <w:tbl>
            <w:tblPr>
              <w:tblStyle w:val="50"/>
              <w:tblW w:w="8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327"/>
              <w:gridCol w:w="3979"/>
              <w:gridCol w:w="2347"/>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blHeader/>
              </w:trPr>
              <w:tc>
                <w:tcPr>
                  <w:tcW w:w="731" w:type="dxa"/>
                  <w:vAlign w:val="center"/>
                </w:tcPr>
                <w:p>
                  <w:pPr>
                    <w:jc w:val="center"/>
                    <w:rPr>
                      <w:rFonts w:ascii="Times New Roman" w:hAnsi="Times New Roman"/>
                      <w:color w:val="auto"/>
                    </w:rPr>
                  </w:pPr>
                  <w:r>
                    <w:rPr>
                      <w:rFonts w:ascii="Times New Roman" w:hAnsi="Times New Roman"/>
                      <w:color w:val="auto"/>
                    </w:rPr>
                    <w:t>工程阶段</w:t>
                  </w:r>
                </w:p>
              </w:tc>
              <w:tc>
                <w:tcPr>
                  <w:tcW w:w="1327" w:type="dxa"/>
                  <w:vAlign w:val="center"/>
                </w:tcPr>
                <w:p>
                  <w:pPr>
                    <w:jc w:val="center"/>
                    <w:rPr>
                      <w:rFonts w:ascii="Times New Roman" w:hAnsi="Times New Roman"/>
                      <w:color w:val="auto"/>
                    </w:rPr>
                  </w:pPr>
                  <w:r>
                    <w:rPr>
                      <w:rFonts w:ascii="Times New Roman"/>
                      <w:color w:val="auto"/>
                    </w:rPr>
                    <w:t>项目</w:t>
                  </w:r>
                </w:p>
              </w:tc>
              <w:tc>
                <w:tcPr>
                  <w:tcW w:w="3979" w:type="dxa"/>
                  <w:vAlign w:val="center"/>
                </w:tcPr>
                <w:p>
                  <w:pPr>
                    <w:jc w:val="center"/>
                    <w:rPr>
                      <w:rFonts w:ascii="Times New Roman" w:hAnsi="Times New Roman"/>
                      <w:color w:val="auto"/>
                    </w:rPr>
                  </w:pPr>
                  <w:r>
                    <w:rPr>
                      <w:rFonts w:ascii="Times New Roman" w:hAnsi="Times New Roman"/>
                      <w:color w:val="auto"/>
                    </w:rPr>
                    <w:t>主要防治措施</w:t>
                  </w:r>
                </w:p>
              </w:tc>
              <w:tc>
                <w:tcPr>
                  <w:tcW w:w="2357" w:type="dxa"/>
                  <w:gridSpan w:val="2"/>
                  <w:vAlign w:val="center"/>
                </w:tcPr>
                <w:p>
                  <w:pPr>
                    <w:jc w:val="center"/>
                    <w:rPr>
                      <w:rFonts w:ascii="Times New Roman" w:hAnsi="Times New Roman"/>
                      <w:color w:val="auto"/>
                    </w:rPr>
                  </w:pPr>
                  <w:r>
                    <w:rPr>
                      <w:rFonts w:ascii="Times New Roman"/>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blHeader/>
              </w:trPr>
              <w:tc>
                <w:tcPr>
                  <w:tcW w:w="731" w:type="dxa"/>
                  <w:vMerge w:val="restart"/>
                  <w:vAlign w:val="center"/>
                </w:tcPr>
                <w:p>
                  <w:pPr>
                    <w:jc w:val="center"/>
                    <w:rPr>
                      <w:rFonts w:ascii="Times New Roman" w:hAnsi="Times New Roman"/>
                      <w:color w:val="auto"/>
                    </w:rPr>
                  </w:pPr>
                  <w:r>
                    <w:rPr>
                      <w:rFonts w:ascii="Times New Roman"/>
                      <w:color w:val="auto"/>
                    </w:rPr>
                    <w:t>施工期</w:t>
                  </w:r>
                </w:p>
              </w:tc>
              <w:tc>
                <w:tcPr>
                  <w:tcW w:w="1327" w:type="dxa"/>
                  <w:vAlign w:val="center"/>
                </w:tcPr>
                <w:p>
                  <w:pPr>
                    <w:jc w:val="center"/>
                    <w:rPr>
                      <w:rFonts w:ascii="Times New Roman" w:hAnsi="Times New Roman"/>
                      <w:color w:val="auto"/>
                    </w:rPr>
                  </w:pPr>
                  <w:r>
                    <w:rPr>
                      <w:rFonts w:ascii="Times New Roman"/>
                      <w:color w:val="auto"/>
                    </w:rPr>
                    <w:t>大气污染物</w:t>
                  </w:r>
                </w:p>
              </w:tc>
              <w:tc>
                <w:tcPr>
                  <w:tcW w:w="3979" w:type="dxa"/>
                  <w:vAlign w:val="center"/>
                </w:tcPr>
                <w:p>
                  <w:pPr>
                    <w:jc w:val="center"/>
                    <w:rPr>
                      <w:rFonts w:ascii="Times New Roman" w:hAnsi="Times New Roman"/>
                      <w:color w:val="auto"/>
                      <w:kern w:val="0"/>
                    </w:rPr>
                  </w:pPr>
                  <w:r>
                    <w:rPr>
                      <w:rFonts w:ascii="Times New Roman"/>
                      <w:color w:val="auto"/>
                    </w:rPr>
                    <w:t>施工时应采用围栏，定期洒水，对运土车辆加盖棚布，冲洗车轮。</w:t>
                  </w:r>
                  <w:r>
                    <w:rPr>
                      <w:rFonts w:ascii="Times New Roman" w:hAnsi="Times New Roman"/>
                      <w:color w:val="auto"/>
                    </w:rPr>
                    <w:t>施工产生的土方等要合理堆放，并进行覆盖处理。</w:t>
                  </w:r>
                </w:p>
              </w:tc>
              <w:tc>
                <w:tcPr>
                  <w:tcW w:w="2357" w:type="dxa"/>
                  <w:gridSpan w:val="2"/>
                  <w:vAlign w:val="center"/>
                </w:tcPr>
                <w:p>
                  <w:pPr>
                    <w:jc w:val="center"/>
                    <w:rPr>
                      <w:rFonts w:ascii="Times New Roman" w:hAnsi="Times New Roman"/>
                      <w:color w:val="auto"/>
                    </w:rPr>
                  </w:pPr>
                  <w:r>
                    <w:rPr>
                      <w:rFonts w:ascii="Times New Roman"/>
                      <w:color w:val="auto"/>
                    </w:rPr>
                    <w:t>施工期不影响当地空气质量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blHeader/>
              </w:trPr>
              <w:tc>
                <w:tcPr>
                  <w:tcW w:w="731" w:type="dxa"/>
                  <w:vMerge w:val="continue"/>
                  <w:vAlign w:val="center"/>
                </w:tcPr>
                <w:p>
                  <w:pPr>
                    <w:ind w:firstLine="420"/>
                    <w:jc w:val="center"/>
                    <w:rPr>
                      <w:rFonts w:ascii="Times New Roman" w:hAnsi="Times New Roman"/>
                      <w:color w:val="auto"/>
                    </w:rPr>
                  </w:pPr>
                </w:p>
              </w:tc>
              <w:tc>
                <w:tcPr>
                  <w:tcW w:w="1327" w:type="dxa"/>
                  <w:vAlign w:val="center"/>
                </w:tcPr>
                <w:p>
                  <w:pPr>
                    <w:jc w:val="center"/>
                    <w:rPr>
                      <w:rFonts w:ascii="Times New Roman" w:hAnsi="Times New Roman"/>
                      <w:color w:val="auto"/>
                    </w:rPr>
                  </w:pPr>
                  <w:r>
                    <w:rPr>
                      <w:rFonts w:ascii="Times New Roman"/>
                      <w:color w:val="auto"/>
                    </w:rPr>
                    <w:t>水污染物</w:t>
                  </w:r>
                </w:p>
              </w:tc>
              <w:tc>
                <w:tcPr>
                  <w:tcW w:w="3979" w:type="dxa"/>
                  <w:vAlign w:val="center"/>
                </w:tcPr>
                <w:p>
                  <w:pPr>
                    <w:rPr>
                      <w:rFonts w:ascii="Times New Roman" w:hAnsi="Times New Roman"/>
                      <w:color w:val="auto"/>
                    </w:rPr>
                  </w:pPr>
                  <w:r>
                    <w:rPr>
                      <w:rFonts w:ascii="Times New Roman" w:hAnsi="Times New Roman"/>
                      <w:color w:val="auto"/>
                    </w:rPr>
                    <w:t>采用商用混凝土，无施工泥浆废水；生活污水利用租住的民房内的污水处理装置进行处理</w:t>
                  </w:r>
                </w:p>
              </w:tc>
              <w:tc>
                <w:tcPr>
                  <w:tcW w:w="2357" w:type="dxa"/>
                  <w:gridSpan w:val="2"/>
                  <w:vAlign w:val="center"/>
                </w:tcPr>
                <w:p>
                  <w:pPr>
                    <w:jc w:val="center"/>
                    <w:rPr>
                      <w:rFonts w:ascii="Times New Roman" w:hAnsi="Times New Roman"/>
                      <w:color w:val="auto"/>
                      <w:kern w:val="0"/>
                    </w:rPr>
                  </w:pPr>
                  <w:r>
                    <w:rPr>
                      <w:rFonts w:ascii="Times New Roman"/>
                      <w:color w:val="auto"/>
                      <w:kern w:val="0"/>
                    </w:rPr>
                    <w:t>施工废水和生活污水不外排，不影响施工场地周围水环境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blHeader/>
              </w:trPr>
              <w:tc>
                <w:tcPr>
                  <w:tcW w:w="731" w:type="dxa"/>
                  <w:vMerge w:val="continue"/>
                  <w:vAlign w:val="center"/>
                </w:tcPr>
                <w:p>
                  <w:pPr>
                    <w:ind w:firstLine="420"/>
                    <w:jc w:val="center"/>
                    <w:rPr>
                      <w:rFonts w:ascii="Times New Roman" w:hAnsi="Times New Roman"/>
                      <w:color w:val="auto"/>
                    </w:rPr>
                  </w:pPr>
                </w:p>
              </w:tc>
              <w:tc>
                <w:tcPr>
                  <w:tcW w:w="1327" w:type="dxa"/>
                  <w:vAlign w:val="center"/>
                </w:tcPr>
                <w:p>
                  <w:pPr>
                    <w:jc w:val="center"/>
                    <w:rPr>
                      <w:rFonts w:ascii="Times New Roman" w:hAnsi="Times New Roman"/>
                      <w:color w:val="auto"/>
                    </w:rPr>
                  </w:pPr>
                  <w:r>
                    <w:rPr>
                      <w:rFonts w:ascii="Times New Roman"/>
                      <w:color w:val="auto"/>
                    </w:rPr>
                    <w:t>固体废物</w:t>
                  </w:r>
                </w:p>
              </w:tc>
              <w:tc>
                <w:tcPr>
                  <w:tcW w:w="3979" w:type="dxa"/>
                  <w:vAlign w:val="center"/>
                </w:tcPr>
                <w:p>
                  <w:pPr>
                    <w:rPr>
                      <w:rFonts w:ascii="Times New Roman" w:hAnsi="Times New Roman"/>
                      <w:color w:val="auto"/>
                    </w:rPr>
                  </w:pPr>
                  <w:r>
                    <w:rPr>
                      <w:rFonts w:ascii="Times New Roman" w:hAnsi="Times New Roman"/>
                      <w:color w:val="auto"/>
                    </w:rPr>
                    <w:t>生活垃圾应集中堆放，委托当地环卫部门及时清运；建筑垃圾集中堆放，及时清运至指定地点处理。</w:t>
                  </w:r>
                </w:p>
              </w:tc>
              <w:tc>
                <w:tcPr>
                  <w:tcW w:w="2357" w:type="dxa"/>
                  <w:gridSpan w:val="2"/>
                  <w:vAlign w:val="center"/>
                </w:tcPr>
                <w:p>
                  <w:pPr>
                    <w:widowControl/>
                    <w:jc w:val="left"/>
                    <w:rPr>
                      <w:rFonts w:ascii="Times New Roman" w:hAnsi="Times New Roman"/>
                      <w:color w:val="auto"/>
                    </w:rPr>
                  </w:pPr>
                  <w:r>
                    <w:rPr>
                      <w:rFonts w:ascii="Times New Roman" w:hAnsi="Times New Roman"/>
                      <w:color w:val="auto"/>
                    </w:rPr>
                    <w:t>施工现场无弃土弃渣、建筑垃圾、生活垃圾等固体废物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cantSplit/>
                <w:trHeight w:val="20" w:hRule="atLeast"/>
                <w:tblHeader/>
              </w:trPr>
              <w:tc>
                <w:tcPr>
                  <w:tcW w:w="731" w:type="dxa"/>
                  <w:vMerge w:val="continue"/>
                  <w:vAlign w:val="center"/>
                </w:tcPr>
                <w:p>
                  <w:pPr>
                    <w:jc w:val="center"/>
                    <w:rPr>
                      <w:rFonts w:ascii="Times New Roman" w:hAnsi="Times New Roman"/>
                      <w:color w:val="auto"/>
                    </w:rPr>
                  </w:pPr>
                </w:p>
              </w:tc>
              <w:tc>
                <w:tcPr>
                  <w:tcW w:w="1327" w:type="dxa"/>
                  <w:vAlign w:val="center"/>
                </w:tcPr>
                <w:p>
                  <w:pPr>
                    <w:jc w:val="center"/>
                    <w:rPr>
                      <w:rFonts w:ascii="Times New Roman" w:hAnsi="Times New Roman"/>
                      <w:color w:val="auto"/>
                    </w:rPr>
                  </w:pPr>
                  <w:r>
                    <w:rPr>
                      <w:rFonts w:ascii="Times New Roman"/>
                      <w:color w:val="auto"/>
                    </w:rPr>
                    <w:t>噪声</w:t>
                  </w:r>
                </w:p>
              </w:tc>
              <w:tc>
                <w:tcPr>
                  <w:tcW w:w="3979" w:type="dxa"/>
                  <w:vAlign w:val="center"/>
                </w:tcPr>
                <w:p>
                  <w:pPr>
                    <w:rPr>
                      <w:rFonts w:ascii="Times New Roman" w:hAnsi="Times New Roman"/>
                      <w:color w:val="auto"/>
                    </w:rPr>
                  </w:pPr>
                  <w:r>
                    <w:rPr>
                      <w:rFonts w:ascii="Times New Roman" w:hAnsi="Times New Roman"/>
                      <w:color w:val="auto"/>
                    </w:rPr>
                    <w:t>尽量采用低噪声设备施工</w:t>
                  </w:r>
                  <w:r>
                    <w:rPr>
                      <w:rFonts w:hint="eastAsia" w:ascii="Times New Roman" w:hAnsi="Times New Roman"/>
                      <w:color w:val="auto"/>
                    </w:rPr>
                    <w:t>，施工场地设置围挡</w:t>
                  </w:r>
                  <w:r>
                    <w:rPr>
                      <w:rFonts w:ascii="Times New Roman" w:hAnsi="Times New Roman"/>
                      <w:color w:val="auto"/>
                    </w:rPr>
                    <w:t>；运输车辆进出施工现场及途经居民点时应控制或禁止鸣喇叭，减少交通噪声；同时合理安排施工活动，加强施工期的环境管理和环境监控工作，并接受环保部门的监督管理。</w:t>
                  </w:r>
                </w:p>
              </w:tc>
              <w:tc>
                <w:tcPr>
                  <w:tcW w:w="2347" w:type="dxa"/>
                  <w:vAlign w:val="center"/>
                </w:tcPr>
                <w:p>
                  <w:pPr>
                    <w:widowControl/>
                    <w:jc w:val="center"/>
                    <w:rPr>
                      <w:rFonts w:ascii="Times New Roman" w:hAnsi="Times New Roman"/>
                      <w:color w:val="auto"/>
                    </w:rPr>
                  </w:pPr>
                  <w:r>
                    <w:rPr>
                      <w:rFonts w:ascii="Times New Roman" w:hAnsi="Times New Roman"/>
                      <w:color w:val="auto"/>
                    </w:rPr>
                    <w:t>施工噪声排放需满足《建筑施工厂界环境噪声排放标准》（GB12523-2011）相应标准要求。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cantSplit/>
                <w:trHeight w:val="20" w:hRule="atLeast"/>
                <w:tblHeader/>
              </w:trPr>
              <w:tc>
                <w:tcPr>
                  <w:tcW w:w="731" w:type="dxa"/>
                  <w:vMerge w:val="continue"/>
                  <w:vAlign w:val="center"/>
                </w:tcPr>
                <w:p>
                  <w:pPr>
                    <w:jc w:val="center"/>
                    <w:rPr>
                      <w:rFonts w:ascii="Times New Roman" w:hAnsi="Times New Roman"/>
                      <w:color w:val="auto"/>
                      <w:highlight w:val="yellow"/>
                    </w:rPr>
                  </w:pPr>
                </w:p>
              </w:tc>
              <w:tc>
                <w:tcPr>
                  <w:tcW w:w="1327" w:type="dxa"/>
                  <w:vAlign w:val="center"/>
                </w:tcPr>
                <w:p>
                  <w:pPr>
                    <w:jc w:val="center"/>
                    <w:rPr>
                      <w:rFonts w:ascii="Times New Roman" w:hAnsi="Times New Roman"/>
                      <w:color w:val="auto"/>
                    </w:rPr>
                  </w:pPr>
                  <w:r>
                    <w:rPr>
                      <w:rFonts w:ascii="Times New Roman"/>
                      <w:color w:val="auto"/>
                    </w:rPr>
                    <w:t>生态环境</w:t>
                  </w:r>
                </w:p>
              </w:tc>
              <w:tc>
                <w:tcPr>
                  <w:tcW w:w="3979" w:type="dxa"/>
                  <w:vAlign w:val="center"/>
                </w:tcPr>
                <w:p>
                  <w:pPr>
                    <w:rPr>
                      <w:rFonts w:ascii="Times New Roman" w:hAnsi="Times New Roman"/>
                      <w:color w:val="auto"/>
                    </w:rPr>
                  </w:pPr>
                  <w:r>
                    <w:rPr>
                      <w:rFonts w:ascii="Times New Roman" w:hAnsi="Times New Roman"/>
                      <w:color w:val="auto"/>
                    </w:rPr>
                    <w:t>合理安排施工期，对施工临时弃土进行封盖，防止水土流失。施工时尽量少占用临时施工用地，施工结束时应及时撤出，并进行场地复原及植被恢复。</w:t>
                  </w:r>
                </w:p>
              </w:tc>
              <w:tc>
                <w:tcPr>
                  <w:tcW w:w="2347" w:type="dxa"/>
                  <w:vAlign w:val="center"/>
                </w:tcPr>
                <w:p>
                  <w:pPr>
                    <w:widowControl/>
                    <w:jc w:val="center"/>
                    <w:rPr>
                      <w:rFonts w:ascii="Times New Roman" w:hAnsi="Times New Roman"/>
                      <w:color w:val="auto"/>
                    </w:rPr>
                  </w:pPr>
                  <w:r>
                    <w:rPr>
                      <w:rFonts w:ascii="Times New Roman" w:hAnsi="Times New Roman"/>
                      <w:color w:val="auto"/>
                    </w:rPr>
                    <w:t>施工现场无水土流失现场，植被得到恢复。线路沿线无施工痕迹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cantSplit/>
                <w:trHeight w:val="20" w:hRule="atLeast"/>
                <w:tblHeader/>
              </w:trPr>
              <w:tc>
                <w:tcPr>
                  <w:tcW w:w="731" w:type="dxa"/>
                  <w:vMerge w:val="restart"/>
                  <w:vAlign w:val="center"/>
                </w:tcPr>
                <w:p>
                  <w:pPr>
                    <w:jc w:val="center"/>
                    <w:rPr>
                      <w:rFonts w:ascii="Times New Roman" w:hAnsi="Times New Roman"/>
                      <w:color w:val="auto"/>
                      <w:kern w:val="0"/>
                    </w:rPr>
                  </w:pPr>
                  <w:r>
                    <w:rPr>
                      <w:rFonts w:ascii="Times New Roman" w:hAnsi="Times New Roman"/>
                      <w:color w:val="auto"/>
                      <w:kern w:val="0"/>
                    </w:rPr>
                    <w:t>运行期</w:t>
                  </w:r>
                </w:p>
              </w:tc>
              <w:tc>
                <w:tcPr>
                  <w:tcW w:w="1327" w:type="dxa"/>
                  <w:vAlign w:val="center"/>
                </w:tcPr>
                <w:p>
                  <w:pPr>
                    <w:jc w:val="center"/>
                    <w:rPr>
                      <w:rFonts w:ascii="Times New Roman" w:hAnsi="Times New Roman"/>
                      <w:color w:val="auto"/>
                    </w:rPr>
                  </w:pPr>
                  <w:r>
                    <w:rPr>
                      <w:rFonts w:ascii="Times New Roman" w:hAnsi="Times New Roman"/>
                      <w:color w:val="auto"/>
                    </w:rPr>
                    <w:t>工频电场、工频磁场</w:t>
                  </w:r>
                </w:p>
              </w:tc>
              <w:tc>
                <w:tcPr>
                  <w:tcW w:w="3979" w:type="dxa"/>
                  <w:vAlign w:val="center"/>
                </w:tcPr>
                <w:p>
                  <w:pPr>
                    <w:rPr>
                      <w:rFonts w:ascii="Times New Roman" w:hAnsi="Times New Roman"/>
                      <w:color w:val="auto"/>
                    </w:rPr>
                  </w:pPr>
                  <w:r>
                    <w:rPr>
                      <w:rFonts w:hint="eastAsia" w:ascii="Times New Roman" w:hAnsi="宋体"/>
                      <w:color w:val="auto"/>
                      <w:kern w:val="2"/>
                      <w:sz w:val="21"/>
                      <w:lang w:val="en-US" w:eastAsia="zh-CN"/>
                    </w:rPr>
                    <w:t>220kV架空线路导线对地高度不小于11m，在地面1.5m高度处的工频电场强度、工频磁感应强度满足相应评价标准的要求；对地高度不小于19m，跨越民房及线路边导线外2m处有民房时工频电场强度、工频磁感应强度满足相应评价标准的要求。</w:t>
                  </w:r>
                </w:p>
              </w:tc>
              <w:tc>
                <w:tcPr>
                  <w:tcW w:w="2347" w:type="dxa"/>
                  <w:vAlign w:val="top"/>
                </w:tcPr>
                <w:p>
                  <w:pPr>
                    <w:widowControl/>
                    <w:jc w:val="left"/>
                    <w:rPr>
                      <w:rFonts w:ascii="Times New Roman" w:hAnsi="Times New Roman"/>
                      <w:color w:val="auto"/>
                      <w:sz w:val="20"/>
                    </w:rPr>
                  </w:pPr>
                  <w:r>
                    <w:rPr>
                      <w:rFonts w:ascii="Times New Roman"/>
                      <w:color w:val="auto"/>
                    </w:rPr>
                    <w:t>线路沿线居民点处工频电场强度、工频磁感应强度分别小于</w:t>
                  </w:r>
                  <w:r>
                    <w:rPr>
                      <w:rFonts w:hint="eastAsia" w:ascii="Times New Roman"/>
                      <w:color w:val="auto"/>
                    </w:rPr>
                    <w:t>4</w:t>
                  </w:r>
                  <w:r>
                    <w:rPr>
                      <w:rFonts w:ascii="Times New Roman"/>
                      <w:color w:val="auto"/>
                    </w:rPr>
                    <w:t>k</w:t>
                  </w:r>
                  <w:r>
                    <w:rPr>
                      <w:rFonts w:hint="eastAsia" w:ascii="Times New Roman"/>
                      <w:color w:val="auto"/>
                    </w:rPr>
                    <w:t>V/m（公众曝露控制限值），1</w:t>
                  </w:r>
                  <w:r>
                    <w:rPr>
                      <w:rFonts w:ascii="Times New Roman"/>
                      <w:color w:val="auto"/>
                    </w:rPr>
                    <w:t>0k</w:t>
                  </w:r>
                  <w:r>
                    <w:rPr>
                      <w:rFonts w:hint="eastAsia" w:ascii="Times New Roman"/>
                      <w:color w:val="auto"/>
                    </w:rPr>
                    <w:t>V/m（</w:t>
                  </w:r>
                  <w:r>
                    <w:rPr>
                      <w:rFonts w:hint="eastAsia" w:ascii="Times New Roman" w:hAnsi="Times New Roman"/>
                      <w:color w:val="auto"/>
                      <w:szCs w:val="24"/>
                    </w:rPr>
                    <w:t>架空线路经过耕地、林地、道路等场所时</w:t>
                  </w:r>
                  <w:r>
                    <w:rPr>
                      <w:rFonts w:hint="eastAsia" w:ascii="Times New Roman"/>
                      <w:color w:val="auto"/>
                    </w:rPr>
                    <w:t>）</w:t>
                  </w:r>
                  <w:r>
                    <w:rPr>
                      <w:rFonts w:ascii="Times New Roman"/>
                      <w:color w:val="auto"/>
                    </w:rPr>
                    <w:t>、</w:t>
                  </w:r>
                  <w:r>
                    <w:rPr>
                      <w:rFonts w:ascii="Times New Roman" w:hAnsi="Times New Roman"/>
                      <w:color w:val="auto"/>
                    </w:rPr>
                    <w:t>100μT</w:t>
                  </w:r>
                  <w:r>
                    <w:rPr>
                      <w:rFonts w:asci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cantSplit/>
                <w:trHeight w:val="20" w:hRule="atLeast"/>
                <w:tblHeader/>
              </w:trPr>
              <w:tc>
                <w:tcPr>
                  <w:tcW w:w="731" w:type="dxa"/>
                  <w:vMerge w:val="continue"/>
                  <w:vAlign w:val="center"/>
                </w:tcPr>
                <w:p>
                  <w:pPr>
                    <w:jc w:val="center"/>
                    <w:rPr>
                      <w:rFonts w:ascii="Times New Roman" w:hAnsi="Times New Roman"/>
                      <w:color w:val="auto"/>
                      <w:kern w:val="0"/>
                    </w:rPr>
                  </w:pPr>
                </w:p>
              </w:tc>
              <w:tc>
                <w:tcPr>
                  <w:tcW w:w="1327" w:type="dxa"/>
                  <w:vAlign w:val="center"/>
                </w:tcPr>
                <w:p>
                  <w:pPr>
                    <w:jc w:val="center"/>
                    <w:rPr>
                      <w:rFonts w:ascii="Times New Roman" w:hAnsi="Times New Roman"/>
                      <w:color w:val="auto"/>
                    </w:rPr>
                  </w:pPr>
                  <w:r>
                    <w:rPr>
                      <w:rFonts w:hint="eastAsia" w:ascii="Times New Roman" w:hAnsi="Times New Roman"/>
                      <w:color w:val="auto"/>
                    </w:rPr>
                    <w:t>噪声</w:t>
                  </w:r>
                </w:p>
              </w:tc>
              <w:tc>
                <w:tcPr>
                  <w:tcW w:w="3979" w:type="dxa"/>
                  <w:vAlign w:val="center"/>
                </w:tcPr>
                <w:p>
                  <w:pPr>
                    <w:rPr>
                      <w:rFonts w:hint="eastAsia" w:ascii="Times New Roman" w:hAnsi="Times New Roman"/>
                      <w:color w:val="auto"/>
                    </w:rPr>
                  </w:pPr>
                  <w:r>
                    <w:rPr>
                      <w:color w:val="auto"/>
                    </w:rPr>
                    <w:t>输电线路投运后对周围环境保护目标声环境的影响昼间、夜间均满足</w:t>
                  </w:r>
                  <w:r>
                    <w:rPr>
                      <w:rFonts w:hint="eastAsia"/>
                      <w:color w:val="auto"/>
                    </w:rPr>
                    <w:t>相应</w:t>
                  </w:r>
                  <w:r>
                    <w:rPr>
                      <w:color w:val="auto"/>
                    </w:rPr>
                    <w:t>标准。</w:t>
                  </w:r>
                </w:p>
              </w:tc>
              <w:tc>
                <w:tcPr>
                  <w:tcW w:w="2347" w:type="dxa"/>
                  <w:vAlign w:val="top"/>
                </w:tcPr>
                <w:p>
                  <w:pPr>
                    <w:widowControl/>
                    <w:jc w:val="left"/>
                    <w:rPr>
                      <w:rFonts w:ascii="Times New Roman"/>
                      <w:color w:val="auto"/>
                    </w:rPr>
                  </w:pPr>
                  <w:r>
                    <w:rPr>
                      <w:rFonts w:hint="eastAsia" w:ascii="Times New Roman"/>
                      <w:color w:val="auto"/>
                    </w:rPr>
                    <w:t>《</w:t>
                  </w:r>
                  <w:r>
                    <w:rPr>
                      <w:rFonts w:ascii="Times New Roman"/>
                      <w:color w:val="auto"/>
                    </w:rPr>
                    <w:t>声环境质量标准》（GB3096-2008）</w:t>
                  </w:r>
                  <w:r>
                    <w:rPr>
                      <w:rFonts w:hint="eastAsia" w:ascii="Times New Roman"/>
                      <w:color w:val="auto"/>
                    </w:rPr>
                    <w:t>1/4a</w:t>
                  </w:r>
                  <w:r>
                    <w:rPr>
                      <w:rFonts w:ascii="Times New Roman"/>
                      <w:color w:val="auto"/>
                    </w:rPr>
                    <w:t>类标准</w:t>
                  </w:r>
                </w:p>
              </w:tc>
            </w:tr>
          </w:tbl>
          <w:p>
            <w:pPr>
              <w:spacing w:line="360" w:lineRule="auto"/>
              <w:ind w:firstLine="420" w:firstLineChars="200"/>
              <w:rPr>
                <w:rFonts w:hint="eastAsia" w:ascii="Times New Roman" w:hAnsi="Times New Roman"/>
                <w:color w:val="auto"/>
                <w:szCs w:val="24"/>
              </w:rPr>
            </w:pPr>
          </w:p>
        </w:tc>
      </w:tr>
    </w:tbl>
    <w:p>
      <w:pPr>
        <w:outlineLvl w:val="0"/>
        <w:rPr>
          <w:rFonts w:ascii="Times New Roman" w:hAnsi="Times New Roman"/>
          <w:b/>
          <w:bCs/>
          <w:color w:val="auto"/>
          <w:sz w:val="28"/>
          <w:szCs w:val="28"/>
        </w:rPr>
      </w:pPr>
      <w:r>
        <w:rPr>
          <w:rFonts w:ascii="Times New Roman" w:hAnsi="Times New Roman"/>
          <w:b/>
          <w:color w:val="auto"/>
        </w:rPr>
        <w:br w:type="page"/>
      </w:r>
      <w:bookmarkStart w:id="46" w:name="_Toc522457756"/>
      <w:bookmarkStart w:id="47" w:name="_Toc474225745"/>
      <w:r>
        <w:rPr>
          <w:rFonts w:ascii="Times New Roman" w:hAnsi="Times New Roman"/>
          <w:b/>
          <w:bCs/>
          <w:color w:val="auto"/>
          <w:sz w:val="28"/>
          <w:szCs w:val="28"/>
        </w:rPr>
        <w:t>1</w:t>
      </w:r>
      <w:r>
        <w:rPr>
          <w:rFonts w:hint="eastAsia" w:ascii="Times New Roman" w:hAnsi="Times New Roman"/>
          <w:b/>
          <w:bCs/>
          <w:color w:val="auto"/>
          <w:sz w:val="28"/>
          <w:szCs w:val="28"/>
        </w:rPr>
        <w:t>0</w:t>
      </w:r>
      <w:r>
        <w:rPr>
          <w:rFonts w:ascii="Times New Roman" w:hAnsi="Times New Roman"/>
          <w:b/>
          <w:bCs/>
          <w:color w:val="auto"/>
          <w:sz w:val="28"/>
          <w:szCs w:val="28"/>
        </w:rPr>
        <w:t>结论、措施与建议</w:t>
      </w:r>
      <w:bookmarkEnd w:id="46"/>
      <w:bookmarkEnd w:id="47"/>
    </w:p>
    <w:tbl>
      <w:tblPr>
        <w:tblStyle w:val="50"/>
        <w:tblW w:w="8697" w:type="dxa"/>
        <w:tblInd w:w="0" w:type="dxa"/>
        <w:tblLayout w:type="fixed"/>
        <w:tblCellMar>
          <w:top w:w="0" w:type="dxa"/>
          <w:left w:w="108" w:type="dxa"/>
          <w:bottom w:w="0" w:type="dxa"/>
          <w:right w:w="108" w:type="dxa"/>
        </w:tblCellMar>
      </w:tblPr>
      <w:tblGrid>
        <w:gridCol w:w="8697"/>
      </w:tblGrid>
      <w:tr>
        <w:tblPrEx>
          <w:tblLayout w:type="fixed"/>
          <w:tblCellMar>
            <w:top w:w="0" w:type="dxa"/>
            <w:left w:w="108" w:type="dxa"/>
            <w:bottom w:w="0" w:type="dxa"/>
            <w:right w:w="108" w:type="dxa"/>
          </w:tblCellMar>
        </w:tblPrEx>
        <w:trPr>
          <w:trHeight w:val="12911" w:hRule="atLeast"/>
        </w:trPr>
        <w:tc>
          <w:tcPr>
            <w:tcW w:w="8697" w:type="dxa"/>
            <w:tcBorders>
              <w:top w:val="single" w:color="auto" w:sz="6" w:space="0"/>
              <w:left w:val="single" w:color="auto" w:sz="6" w:space="0"/>
              <w:bottom w:val="single" w:color="auto" w:sz="6" w:space="0"/>
              <w:right w:val="single" w:color="auto" w:sz="6" w:space="0"/>
            </w:tcBorders>
            <w:vAlign w:val="top"/>
          </w:tcPr>
          <w:p>
            <w:pPr>
              <w:spacing w:line="440" w:lineRule="exact"/>
              <w:outlineLvl w:val="1"/>
              <w:rPr>
                <w:rFonts w:ascii="Times New Roman" w:hAnsi="Times New Roman"/>
                <w:b/>
                <w:bCs/>
                <w:color w:val="auto"/>
                <w:sz w:val="24"/>
                <w:szCs w:val="24"/>
              </w:rPr>
            </w:pPr>
            <w:r>
              <w:rPr>
                <w:rFonts w:ascii="Times New Roman" w:hAnsi="Times New Roman"/>
                <w:b/>
                <w:bCs/>
                <w:color w:val="auto"/>
                <w:sz w:val="24"/>
                <w:szCs w:val="24"/>
              </w:rPr>
              <w:t>1</w:t>
            </w:r>
            <w:r>
              <w:rPr>
                <w:rFonts w:hint="eastAsia" w:ascii="Times New Roman" w:hAnsi="Times New Roman"/>
                <w:b/>
                <w:bCs/>
                <w:color w:val="auto"/>
                <w:sz w:val="24"/>
                <w:szCs w:val="24"/>
              </w:rPr>
              <w:t>0</w:t>
            </w:r>
            <w:r>
              <w:rPr>
                <w:rFonts w:ascii="Times New Roman" w:hAnsi="Times New Roman"/>
                <w:b/>
                <w:bCs/>
                <w:color w:val="auto"/>
                <w:sz w:val="24"/>
                <w:szCs w:val="24"/>
              </w:rPr>
              <w:t>.1结论</w:t>
            </w:r>
          </w:p>
          <w:p>
            <w:pPr>
              <w:spacing w:line="440" w:lineRule="exact"/>
              <w:rPr>
                <w:rFonts w:ascii="Times New Roman" w:hAnsi="Times New Roman"/>
                <w:b/>
                <w:bCs/>
                <w:color w:val="auto"/>
              </w:rPr>
            </w:pPr>
            <w:r>
              <w:rPr>
                <w:rFonts w:ascii="Times New Roman" w:hAnsi="Times New Roman"/>
                <w:b/>
                <w:bCs/>
                <w:color w:val="auto"/>
              </w:rPr>
              <w:t>1</w:t>
            </w:r>
            <w:r>
              <w:rPr>
                <w:rFonts w:hint="eastAsia" w:ascii="Times New Roman" w:hAnsi="Times New Roman"/>
                <w:b/>
                <w:bCs/>
                <w:color w:val="auto"/>
              </w:rPr>
              <w:t>0</w:t>
            </w:r>
            <w:r>
              <w:rPr>
                <w:rFonts w:ascii="Times New Roman" w:hAnsi="Times New Roman"/>
                <w:b/>
                <w:bCs/>
                <w:color w:val="auto"/>
              </w:rPr>
              <w:t>.1.1项目概况及建设必要性</w:t>
            </w:r>
          </w:p>
          <w:p>
            <w:pPr>
              <w:pStyle w:val="23"/>
              <w:ind w:firstLine="420" w:firstLineChars="200"/>
              <w:rPr>
                <w:rFonts w:ascii="Times New Roman"/>
                <w:color w:val="auto"/>
                <w:kern w:val="2"/>
                <w:sz w:val="21"/>
                <w:szCs w:val="21"/>
              </w:rPr>
            </w:pPr>
            <w:r>
              <w:rPr>
                <w:rFonts w:ascii="Times New Roman"/>
                <w:color w:val="auto"/>
                <w:kern w:val="2"/>
                <w:sz w:val="21"/>
                <w:szCs w:val="21"/>
              </w:rPr>
              <w:t>（1）项目概况</w:t>
            </w:r>
          </w:p>
          <w:p>
            <w:pPr>
              <w:pStyle w:val="23"/>
              <w:ind w:firstLine="420" w:firstLineChars="200"/>
              <w:rPr>
                <w:rFonts w:hint="eastAsia" w:ascii="Times New Roman"/>
                <w:color w:val="auto"/>
                <w:kern w:val="2"/>
                <w:sz w:val="21"/>
                <w:szCs w:val="21"/>
              </w:rPr>
            </w:pPr>
            <w:r>
              <w:rPr>
                <w:rFonts w:hint="eastAsia" w:ascii="Times New Roman"/>
                <w:color w:val="auto"/>
                <w:kern w:val="2"/>
                <w:sz w:val="21"/>
                <w:szCs w:val="21"/>
              </w:rPr>
              <w:t>文昌气电π接220kV玉洲至江东线路新建工程建设内容如下：</w:t>
            </w:r>
          </w:p>
          <w:p>
            <w:pPr>
              <w:pStyle w:val="23"/>
              <w:ind w:firstLine="420" w:firstLineChars="200"/>
              <w:rPr>
                <w:rFonts w:ascii="Times New Roman"/>
                <w:color w:val="auto"/>
                <w:kern w:val="2"/>
                <w:sz w:val="21"/>
                <w:szCs w:val="21"/>
              </w:rPr>
            </w:pPr>
            <w:r>
              <w:rPr>
                <w:rFonts w:hint="eastAsia" w:ascii="Times New Roman"/>
                <w:color w:val="auto"/>
                <w:kern w:val="2"/>
                <w:sz w:val="21"/>
                <w:szCs w:val="21"/>
                <w:lang w:eastAsia="zh-CN"/>
              </w:rPr>
              <w:t>本工程线路自</w:t>
            </w:r>
            <w:r>
              <w:rPr>
                <w:rFonts w:hint="eastAsia" w:ascii="Times New Roman"/>
                <w:color w:val="auto"/>
                <w:kern w:val="2"/>
                <w:sz w:val="21"/>
                <w:szCs w:val="21"/>
              </w:rPr>
              <w:t>文昌气电厂外电缆终端塔</w:t>
            </w:r>
            <w:r>
              <w:rPr>
                <w:rFonts w:hint="eastAsia" w:ascii="Times New Roman"/>
                <w:color w:val="auto"/>
                <w:kern w:val="2"/>
                <w:sz w:val="21"/>
                <w:szCs w:val="21"/>
                <w:lang w:eastAsia="zh-CN"/>
              </w:rPr>
              <w:t>起</w:t>
            </w:r>
            <w:r>
              <w:rPr>
                <w:rFonts w:hint="eastAsia" w:ascii="Times New Roman"/>
                <w:color w:val="auto"/>
                <w:kern w:val="2"/>
                <w:sz w:val="21"/>
                <w:szCs w:val="21"/>
              </w:rPr>
              <w:t>新建同塔双回220kV线路至玉洲站旁的π接点，长度约2×55km，</w:t>
            </w:r>
            <w:r>
              <w:rPr>
                <w:rFonts w:ascii="Times New Roman"/>
                <w:color w:val="auto"/>
                <w:kern w:val="2"/>
                <w:sz w:val="21"/>
                <w:szCs w:val="21"/>
              </w:rPr>
              <w:t>导线采用2×JL/LB1A-</w:t>
            </w:r>
            <w:r>
              <w:rPr>
                <w:rFonts w:hint="eastAsia" w:ascii="Times New Roman"/>
                <w:color w:val="auto"/>
                <w:kern w:val="2"/>
                <w:sz w:val="21"/>
                <w:szCs w:val="21"/>
                <w:lang w:val="en-US" w:eastAsia="zh-CN"/>
              </w:rPr>
              <w:t>40</w:t>
            </w:r>
            <w:r>
              <w:rPr>
                <w:rFonts w:hint="eastAsia" w:ascii="Times New Roman"/>
                <w:color w:val="auto"/>
                <w:kern w:val="2"/>
                <w:sz w:val="21"/>
                <w:szCs w:val="21"/>
              </w:rPr>
              <w:t>0</w:t>
            </w:r>
            <w:r>
              <w:rPr>
                <w:rFonts w:ascii="Times New Roman"/>
                <w:color w:val="auto"/>
                <w:kern w:val="2"/>
                <w:sz w:val="21"/>
                <w:szCs w:val="21"/>
              </w:rPr>
              <w:t>/</w:t>
            </w:r>
            <w:r>
              <w:rPr>
                <w:rFonts w:hint="eastAsia" w:ascii="Times New Roman"/>
                <w:color w:val="auto"/>
                <w:kern w:val="2"/>
                <w:sz w:val="21"/>
                <w:szCs w:val="21"/>
                <w:lang w:val="en-US" w:eastAsia="zh-CN"/>
              </w:rPr>
              <w:t>3</w:t>
            </w:r>
            <w:r>
              <w:rPr>
                <w:rFonts w:ascii="Times New Roman"/>
                <w:color w:val="auto"/>
                <w:kern w:val="2"/>
                <w:sz w:val="21"/>
                <w:szCs w:val="21"/>
              </w:rPr>
              <w:t>5铝包钢芯铝绞线，新建铁塔1</w:t>
            </w:r>
            <w:r>
              <w:rPr>
                <w:rFonts w:hint="eastAsia" w:ascii="Times New Roman"/>
                <w:color w:val="auto"/>
                <w:kern w:val="2"/>
                <w:sz w:val="21"/>
                <w:szCs w:val="21"/>
                <w:lang w:val="en-US" w:eastAsia="zh-CN"/>
              </w:rPr>
              <w:t>65</w:t>
            </w:r>
            <w:r>
              <w:rPr>
                <w:rFonts w:ascii="Times New Roman"/>
                <w:color w:val="auto"/>
                <w:kern w:val="2"/>
                <w:sz w:val="21"/>
                <w:szCs w:val="21"/>
              </w:rPr>
              <w:t>基。</w:t>
            </w:r>
          </w:p>
          <w:p>
            <w:pPr>
              <w:pStyle w:val="23"/>
              <w:ind w:firstLine="420" w:firstLineChars="200"/>
              <w:rPr>
                <w:rFonts w:ascii="Times New Roman"/>
                <w:color w:val="auto"/>
                <w:kern w:val="2"/>
                <w:sz w:val="21"/>
                <w:szCs w:val="21"/>
              </w:rPr>
            </w:pPr>
            <w:r>
              <w:rPr>
                <w:rFonts w:ascii="Times New Roman"/>
                <w:color w:val="auto"/>
                <w:kern w:val="2"/>
                <w:sz w:val="21"/>
                <w:szCs w:val="21"/>
              </w:rPr>
              <w:t>（2）建设必要性</w:t>
            </w:r>
          </w:p>
          <w:p>
            <w:pPr>
              <w:spacing w:line="440" w:lineRule="exact"/>
              <w:ind w:firstLine="420" w:firstLineChars="200"/>
              <w:rPr>
                <w:rFonts w:ascii="Times New Roman" w:hAnsi="Times New Roman"/>
                <w:bCs/>
                <w:color w:val="auto"/>
              </w:rPr>
            </w:pPr>
            <w:r>
              <w:rPr>
                <w:rFonts w:ascii="Times New Roman" w:hAnsi="Times New Roman"/>
                <w:color w:val="auto"/>
              </w:rPr>
              <w:t>根据负荷预测，海南省“十三五”末期将出现电源性缺电的现象，为缓解电力供应紧张的局面，改善电源点布局，南方电网公司在文昌地区投资建设文昌气电工程。</w:t>
            </w:r>
            <w:r>
              <w:rPr>
                <w:rFonts w:hint="eastAsia" w:ascii="Times New Roman" w:hAnsi="Times New Roman"/>
                <w:color w:val="auto"/>
                <w:lang w:eastAsia="zh-CN"/>
              </w:rPr>
              <w:t>为</w:t>
            </w:r>
            <w:r>
              <w:rPr>
                <w:rFonts w:ascii="Times New Roman" w:hAnsi="Times New Roman"/>
                <w:color w:val="auto"/>
              </w:rPr>
              <w:t>满足文昌气电厂电力送出需求“N-1”的运行需求，同时降低海口、文昌地区对西部电源的依赖性，减轻北部受入断面的压力，缓解博厚</w:t>
            </w:r>
            <w:r>
              <w:rPr>
                <w:rFonts w:hint="eastAsia" w:ascii="Times New Roman" w:hAnsi="Times New Roman"/>
                <w:color w:val="auto"/>
                <w:lang w:val="en-US" w:eastAsia="zh-CN"/>
              </w:rPr>
              <w:t>~</w:t>
            </w:r>
            <w:r>
              <w:rPr>
                <w:rFonts w:ascii="Times New Roman" w:hAnsi="Times New Roman"/>
                <w:color w:val="auto"/>
              </w:rPr>
              <w:t>洛基</w:t>
            </w:r>
            <w:r>
              <w:rPr>
                <w:rFonts w:hint="eastAsia" w:ascii="Times New Roman" w:hAnsi="Times New Roman"/>
                <w:color w:val="auto"/>
                <w:lang w:val="en-US" w:eastAsia="zh-CN"/>
              </w:rPr>
              <w:t>~</w:t>
            </w:r>
            <w:r>
              <w:rPr>
                <w:rFonts w:ascii="Times New Roman" w:hAnsi="Times New Roman"/>
                <w:color w:val="auto"/>
              </w:rPr>
              <w:t>福山断面以及福丰断面不满足”N-1”安全稳定校核的问题，提高电网安全稳定运行水平。因此，建设文昌气电π接220kV玉洲至江东线路新建工程是十分必要的</w:t>
            </w:r>
            <w:r>
              <w:rPr>
                <w:rFonts w:hint="eastAsia" w:ascii="Times New Roman" w:hAnsi="Times New Roman"/>
                <w:color w:val="auto"/>
              </w:rPr>
              <w:t>。</w:t>
            </w:r>
          </w:p>
          <w:p>
            <w:pPr>
              <w:spacing w:line="440" w:lineRule="exact"/>
              <w:rPr>
                <w:rFonts w:ascii="Times New Roman" w:hAnsi="Times New Roman"/>
                <w:b/>
                <w:bCs/>
                <w:color w:val="auto"/>
              </w:rPr>
            </w:pPr>
            <w:r>
              <w:rPr>
                <w:rFonts w:ascii="Times New Roman" w:hAnsi="Times New Roman"/>
                <w:b/>
                <w:bCs/>
                <w:color w:val="auto"/>
              </w:rPr>
              <w:t>10.1.2项目与政策及规划的相符性</w:t>
            </w:r>
          </w:p>
          <w:p>
            <w:pPr>
              <w:pStyle w:val="23"/>
              <w:snapToGrid w:val="0"/>
              <w:ind w:firstLine="420" w:firstLineChars="200"/>
              <w:contextualSpacing/>
              <w:rPr>
                <w:rFonts w:hint="eastAsia" w:ascii="Times New Roman"/>
                <w:color w:val="auto"/>
                <w:kern w:val="2"/>
                <w:sz w:val="21"/>
                <w:szCs w:val="21"/>
              </w:rPr>
            </w:pPr>
            <w:r>
              <w:rPr>
                <w:rFonts w:hint="eastAsia" w:ascii="Times New Roman"/>
                <w:color w:val="auto"/>
                <w:kern w:val="2"/>
                <w:sz w:val="21"/>
                <w:szCs w:val="21"/>
              </w:rPr>
              <w:t>本次</w:t>
            </w:r>
            <w:r>
              <w:rPr>
                <w:rFonts w:ascii="Times New Roman"/>
                <w:color w:val="auto"/>
                <w:kern w:val="2"/>
                <w:sz w:val="21"/>
                <w:szCs w:val="21"/>
              </w:rPr>
              <w:t>工程是将电能送到用户端，本身就属于清洁生产，是国家发展和改革委员会20</w:t>
            </w:r>
            <w:r>
              <w:rPr>
                <w:rFonts w:hint="eastAsia" w:ascii="Times New Roman"/>
                <w:color w:val="auto"/>
                <w:kern w:val="2"/>
                <w:sz w:val="21"/>
                <w:szCs w:val="21"/>
              </w:rPr>
              <w:t>1</w:t>
            </w:r>
            <w:r>
              <w:rPr>
                <w:rFonts w:hint="eastAsia" w:ascii="Times New Roman"/>
                <w:color w:val="auto"/>
                <w:kern w:val="2"/>
                <w:sz w:val="21"/>
                <w:szCs w:val="21"/>
                <w:lang w:val="en-US" w:eastAsia="zh-CN"/>
              </w:rPr>
              <w:t>9</w:t>
            </w:r>
            <w:r>
              <w:rPr>
                <w:rFonts w:ascii="Times New Roman"/>
                <w:color w:val="auto"/>
                <w:kern w:val="2"/>
                <w:sz w:val="21"/>
                <w:szCs w:val="21"/>
              </w:rPr>
              <w:t>年</w:t>
            </w:r>
            <w:r>
              <w:rPr>
                <w:rFonts w:hint="eastAsia" w:ascii="Times New Roman"/>
                <w:color w:val="auto"/>
                <w:kern w:val="2"/>
                <w:sz w:val="21"/>
                <w:szCs w:val="21"/>
                <w:lang w:val="en-US" w:eastAsia="zh-CN"/>
              </w:rPr>
              <w:t>10</w:t>
            </w:r>
            <w:r>
              <w:rPr>
                <w:rFonts w:ascii="Times New Roman"/>
                <w:color w:val="auto"/>
                <w:kern w:val="2"/>
                <w:sz w:val="21"/>
                <w:szCs w:val="21"/>
              </w:rPr>
              <w:t>月</w:t>
            </w:r>
            <w:r>
              <w:rPr>
                <w:rFonts w:hint="eastAsia" w:ascii="Times New Roman"/>
                <w:color w:val="auto"/>
                <w:kern w:val="2"/>
                <w:sz w:val="21"/>
                <w:szCs w:val="21"/>
                <w:lang w:val="en-US" w:eastAsia="zh-CN"/>
              </w:rPr>
              <w:t>30</w:t>
            </w:r>
            <w:r>
              <w:rPr>
                <w:rFonts w:ascii="Times New Roman"/>
                <w:color w:val="auto"/>
                <w:kern w:val="2"/>
                <w:sz w:val="21"/>
                <w:szCs w:val="21"/>
              </w:rPr>
              <w:t>日发布的第</w:t>
            </w:r>
            <w:r>
              <w:rPr>
                <w:rFonts w:hint="eastAsia" w:ascii="Times New Roman"/>
                <w:color w:val="auto"/>
                <w:kern w:val="2"/>
                <w:sz w:val="21"/>
                <w:szCs w:val="21"/>
                <w:lang w:val="en-US" w:eastAsia="zh-CN"/>
              </w:rPr>
              <w:t>2</w:t>
            </w:r>
            <w:r>
              <w:rPr>
                <w:rFonts w:hint="eastAsia" w:ascii="Times New Roman"/>
                <w:color w:val="auto"/>
                <w:kern w:val="2"/>
                <w:sz w:val="21"/>
                <w:szCs w:val="21"/>
              </w:rPr>
              <w:t>9</w:t>
            </w:r>
            <w:r>
              <w:rPr>
                <w:rFonts w:ascii="Times New Roman"/>
                <w:color w:val="auto"/>
                <w:kern w:val="2"/>
                <w:sz w:val="21"/>
                <w:szCs w:val="21"/>
              </w:rPr>
              <w:t>号令中的</w:t>
            </w:r>
            <w:r>
              <w:rPr>
                <w:rFonts w:hint="eastAsia" w:ascii="Times New Roman"/>
                <w:color w:val="auto"/>
                <w:kern w:val="2"/>
                <w:sz w:val="21"/>
                <w:szCs w:val="21"/>
              </w:rPr>
              <w:t>“</w:t>
            </w:r>
            <w:r>
              <w:rPr>
                <w:rFonts w:ascii="Times New Roman"/>
                <w:color w:val="auto"/>
                <w:kern w:val="2"/>
                <w:sz w:val="21"/>
                <w:szCs w:val="21"/>
              </w:rPr>
              <w:t>第一类鼓励类</w:t>
            </w:r>
            <w:r>
              <w:rPr>
                <w:rFonts w:hint="eastAsia" w:ascii="Times New Roman"/>
                <w:color w:val="auto"/>
                <w:kern w:val="2"/>
                <w:sz w:val="21"/>
                <w:szCs w:val="21"/>
              </w:rPr>
              <w:t>”</w:t>
            </w:r>
            <w:r>
              <w:rPr>
                <w:rFonts w:ascii="Times New Roman"/>
                <w:color w:val="auto"/>
                <w:kern w:val="2"/>
                <w:sz w:val="21"/>
                <w:szCs w:val="21"/>
              </w:rPr>
              <w:t>中的</w:t>
            </w:r>
            <w:r>
              <w:rPr>
                <w:rFonts w:hint="eastAsia" w:ascii="Times New Roman"/>
                <w:color w:val="auto"/>
                <w:kern w:val="2"/>
                <w:sz w:val="21"/>
                <w:szCs w:val="21"/>
              </w:rPr>
              <w:t>“</w:t>
            </w:r>
            <w:r>
              <w:rPr>
                <w:rFonts w:ascii="Times New Roman"/>
                <w:color w:val="auto"/>
                <w:kern w:val="2"/>
                <w:sz w:val="21"/>
                <w:szCs w:val="21"/>
              </w:rPr>
              <w:t>电网改造及建设</w:t>
            </w:r>
            <w:r>
              <w:rPr>
                <w:rFonts w:hint="eastAsia" w:ascii="Times New Roman"/>
                <w:color w:val="auto"/>
                <w:kern w:val="2"/>
                <w:sz w:val="21"/>
                <w:szCs w:val="21"/>
              </w:rPr>
              <w:t>”</w:t>
            </w:r>
            <w:r>
              <w:rPr>
                <w:rFonts w:ascii="Times New Roman"/>
                <w:color w:val="auto"/>
                <w:kern w:val="2"/>
                <w:sz w:val="21"/>
                <w:szCs w:val="21"/>
              </w:rPr>
              <w:t>的鼓励类项目，</w:t>
            </w:r>
            <w:r>
              <w:rPr>
                <w:rFonts w:hint="eastAsia" w:ascii="Times New Roman"/>
                <w:color w:val="auto"/>
                <w:kern w:val="2"/>
                <w:sz w:val="21"/>
                <w:szCs w:val="21"/>
              </w:rPr>
              <w:t>符合《产业结构指导目录（201</w:t>
            </w:r>
            <w:r>
              <w:rPr>
                <w:rFonts w:hint="eastAsia" w:ascii="Times New Roman"/>
                <w:color w:val="auto"/>
                <w:kern w:val="2"/>
                <w:sz w:val="21"/>
                <w:szCs w:val="21"/>
                <w:lang w:val="en-US" w:eastAsia="zh-CN"/>
              </w:rPr>
              <w:t>9</w:t>
            </w:r>
            <w:r>
              <w:rPr>
                <w:rFonts w:hint="eastAsia" w:ascii="Times New Roman"/>
                <w:color w:val="auto"/>
                <w:kern w:val="2"/>
                <w:sz w:val="21"/>
                <w:szCs w:val="21"/>
              </w:rPr>
              <w:t>年本）》，</w:t>
            </w:r>
            <w:r>
              <w:rPr>
                <w:rFonts w:ascii="Times New Roman"/>
                <w:color w:val="auto"/>
                <w:kern w:val="2"/>
                <w:sz w:val="21"/>
                <w:szCs w:val="21"/>
              </w:rPr>
              <w:t>符合国家产业政策。工程的建设符合海南省电网规划，符合海南省电网建设要求，亦符合</w:t>
            </w:r>
            <w:r>
              <w:rPr>
                <w:rFonts w:hint="eastAsia" w:ascii="Times New Roman"/>
                <w:color w:val="auto"/>
                <w:kern w:val="2"/>
                <w:sz w:val="21"/>
                <w:szCs w:val="21"/>
                <w:lang w:eastAsia="zh-CN"/>
              </w:rPr>
              <w:t>海口</w:t>
            </w:r>
            <w:r>
              <w:rPr>
                <w:rFonts w:ascii="Times New Roman"/>
                <w:color w:val="auto"/>
                <w:kern w:val="2"/>
                <w:sz w:val="21"/>
                <w:szCs w:val="21"/>
              </w:rPr>
              <w:t>市</w:t>
            </w:r>
            <w:r>
              <w:rPr>
                <w:rFonts w:hint="eastAsia" w:ascii="Times New Roman"/>
                <w:color w:val="auto"/>
                <w:kern w:val="2"/>
                <w:sz w:val="21"/>
                <w:szCs w:val="21"/>
              </w:rPr>
              <w:t>及</w:t>
            </w:r>
            <w:r>
              <w:rPr>
                <w:rFonts w:hint="eastAsia" w:ascii="Times New Roman"/>
                <w:color w:val="auto"/>
                <w:kern w:val="2"/>
                <w:sz w:val="21"/>
                <w:szCs w:val="21"/>
                <w:lang w:eastAsia="zh-CN"/>
              </w:rPr>
              <w:t>文昌市</w:t>
            </w:r>
            <w:r>
              <w:rPr>
                <w:rFonts w:ascii="Times New Roman"/>
                <w:color w:val="auto"/>
                <w:kern w:val="2"/>
                <w:sz w:val="21"/>
                <w:szCs w:val="21"/>
              </w:rPr>
              <w:t>的“十三五”发展规划。</w:t>
            </w:r>
          </w:p>
          <w:p>
            <w:pPr>
              <w:pStyle w:val="23"/>
              <w:snapToGrid w:val="0"/>
              <w:ind w:firstLine="420" w:firstLineChars="200"/>
              <w:contextualSpacing/>
              <w:rPr>
                <w:rFonts w:ascii="Times New Roman"/>
                <w:color w:val="auto"/>
                <w:sz w:val="21"/>
                <w:szCs w:val="21"/>
              </w:rPr>
            </w:pPr>
            <w:r>
              <w:rPr>
                <w:rFonts w:hint="eastAsia" w:ascii="Times New Roman"/>
                <w:color w:val="auto"/>
                <w:kern w:val="2"/>
                <w:sz w:val="21"/>
                <w:szCs w:val="21"/>
              </w:rPr>
              <w:t>对照</w:t>
            </w:r>
            <w:r>
              <w:rPr>
                <w:rFonts w:ascii="Times New Roman"/>
                <w:color w:val="auto"/>
                <w:kern w:val="2"/>
                <w:sz w:val="21"/>
                <w:szCs w:val="21"/>
              </w:rPr>
              <w:t>《海南省人民政府关于划定海南省生态保护红线的通告》（琼府[2016]90号）及海南省省级生态保护红线发布系统（</w:t>
            </w:r>
            <w:r>
              <w:rPr>
                <w:color w:val="auto"/>
              </w:rPr>
              <w:fldChar w:fldCharType="begin"/>
            </w:r>
            <w:r>
              <w:rPr>
                <w:color w:val="auto"/>
              </w:rPr>
              <w:instrText xml:space="preserve">HYPERLINK "http://218.77.183.85/hbt/index.html?n"</w:instrText>
            </w:r>
            <w:r>
              <w:rPr>
                <w:color w:val="auto"/>
              </w:rPr>
              <w:fldChar w:fldCharType="separate"/>
            </w:r>
            <w:r>
              <w:rPr>
                <w:rFonts w:ascii="Times New Roman"/>
                <w:color w:val="auto"/>
                <w:kern w:val="2"/>
                <w:sz w:val="21"/>
              </w:rPr>
              <w:t>http://218.77.183.85/hbt/index.html?n</w:t>
            </w:r>
            <w:r>
              <w:rPr>
                <w:color w:val="auto"/>
              </w:rPr>
              <w:fldChar w:fldCharType="end"/>
            </w:r>
            <w:r>
              <w:rPr>
                <w:rFonts w:ascii="Times New Roman"/>
                <w:color w:val="auto"/>
                <w:kern w:val="2"/>
                <w:sz w:val="21"/>
                <w:szCs w:val="21"/>
              </w:rPr>
              <w:t>），</w:t>
            </w:r>
            <w:r>
              <w:rPr>
                <w:rFonts w:hint="eastAsia" w:ascii="Times New Roman"/>
                <w:color w:val="auto"/>
                <w:sz w:val="21"/>
                <w:szCs w:val="21"/>
              </w:rPr>
              <w:t>本工程线路穿越</w:t>
            </w:r>
            <w:r>
              <w:rPr>
                <w:rFonts w:hint="eastAsia" w:ascii="Times New Roman"/>
                <w:color w:val="auto"/>
                <w:sz w:val="21"/>
                <w:szCs w:val="21"/>
                <w:lang w:val="en-US" w:eastAsia="zh-CN"/>
              </w:rPr>
              <w:t>4处</w:t>
            </w:r>
            <w:r>
              <w:rPr>
                <w:rFonts w:hint="eastAsia" w:ascii="Times New Roman"/>
                <w:color w:val="auto"/>
                <w:sz w:val="21"/>
                <w:szCs w:val="21"/>
              </w:rPr>
              <w:t>海南省生态保护红线区。</w:t>
            </w:r>
            <w:r>
              <w:rPr>
                <w:rFonts w:ascii="Times New Roman"/>
                <w:color w:val="auto"/>
                <w:sz w:val="21"/>
                <w:szCs w:val="21"/>
              </w:rPr>
              <w:t>根据海南省陆域</w:t>
            </w:r>
            <w:r>
              <w:rPr>
                <w:rFonts w:hint="eastAsia" w:ascii="Times New Roman"/>
                <w:color w:val="auto"/>
                <w:sz w:val="21"/>
                <w:szCs w:val="21"/>
              </w:rPr>
              <w:t>Ⅰ、Ⅱ</w:t>
            </w:r>
            <w:r>
              <w:rPr>
                <w:rFonts w:ascii="Times New Roman"/>
                <w:color w:val="auto"/>
                <w:sz w:val="21"/>
                <w:szCs w:val="21"/>
              </w:rPr>
              <w:t>类生态保护红线区保护与开发建设准入目录清单，电网类基础设施均是在允许建设范围之内，本项目属于</w:t>
            </w:r>
            <w:r>
              <w:rPr>
                <w:rFonts w:hint="eastAsia" w:ascii="Times New Roman"/>
                <w:color w:val="auto"/>
                <w:sz w:val="21"/>
                <w:szCs w:val="21"/>
              </w:rPr>
              <w:t>Ⅰ、</w:t>
            </w:r>
            <w:r>
              <w:rPr>
                <w:rFonts w:ascii="Times New Roman"/>
                <w:color w:val="auto"/>
                <w:sz w:val="21"/>
                <w:szCs w:val="21"/>
              </w:rPr>
              <w:t>Ⅱ类生态保护红线区内允许的基础设施类项目，符合《海南省生态保护红线管理规定》的相关要求。</w:t>
            </w:r>
          </w:p>
          <w:p>
            <w:pPr>
              <w:pStyle w:val="23"/>
              <w:spacing w:line="360" w:lineRule="auto"/>
              <w:rPr>
                <w:rFonts w:hint="eastAsia" w:ascii="Times New Roman" w:cs="Times New Roman"/>
                <w:color w:val="auto"/>
                <w:sz w:val="21"/>
                <w:szCs w:val="21"/>
                <w:lang w:eastAsia="zh-CN"/>
              </w:rPr>
            </w:pPr>
            <w:r>
              <w:rPr>
                <w:rFonts w:hint="eastAsia" w:ascii="Times New Roman" w:cs="Times New Roman"/>
                <w:color w:val="auto"/>
                <w:sz w:val="21"/>
                <w:szCs w:val="21"/>
                <w:lang w:eastAsia="zh-CN"/>
              </w:rPr>
              <w:t>根据海口林业局复函（海林函</w:t>
            </w:r>
            <w:r>
              <w:rPr>
                <w:rFonts w:hint="eastAsia" w:ascii="Times New Roman" w:cs="Times New Roman"/>
                <w:color w:val="auto"/>
                <w:sz w:val="21"/>
                <w:szCs w:val="21"/>
                <w:lang w:val="en-US" w:eastAsia="zh-CN"/>
              </w:rPr>
              <w:t>[</w:t>
            </w:r>
            <w:r>
              <w:rPr>
                <w:rFonts w:hint="eastAsia" w:ascii="Times New Roman" w:cs="Times New Roman"/>
                <w:color w:val="auto"/>
                <w:sz w:val="21"/>
                <w:szCs w:val="21"/>
                <w:lang w:eastAsia="zh-CN"/>
              </w:rPr>
              <w:t>2019</w:t>
            </w:r>
            <w:r>
              <w:rPr>
                <w:rFonts w:hint="eastAsia" w:ascii="Times New Roman" w:cs="Times New Roman"/>
                <w:color w:val="auto"/>
                <w:sz w:val="21"/>
                <w:szCs w:val="21"/>
                <w:lang w:val="en-US" w:eastAsia="zh-CN"/>
              </w:rPr>
              <w:t>]</w:t>
            </w:r>
            <w:r>
              <w:rPr>
                <w:rFonts w:hint="eastAsia" w:ascii="Times New Roman" w:cs="Times New Roman"/>
                <w:color w:val="auto"/>
                <w:sz w:val="21"/>
                <w:szCs w:val="21"/>
                <w:lang w:eastAsia="zh-CN"/>
              </w:rPr>
              <w:t>506 号），本工程线路涉及新旧沟湿地保护小区及羊山湿地多用途管理区，不涉及湿地本底资源</w:t>
            </w:r>
            <w:r>
              <w:rPr>
                <w:rFonts w:hint="eastAsia" w:ascii="Times New Roman"/>
                <w:color w:val="auto"/>
                <w:sz w:val="21"/>
                <w:szCs w:val="21"/>
                <w:lang w:eastAsia="zh-CN"/>
              </w:rPr>
              <w:t>。因本工程是省2019年重点项目，根据《海南省湿地保护管理条例》第二十二条、《海口市人民代表大会常务委员会关于加强湿地保护管理的决定》第七条第二款的相关规定，本工程涉及新旧沟湿地保护小区段线路</w:t>
            </w:r>
            <w:r>
              <w:rPr>
                <w:rFonts w:hint="eastAsia" w:ascii="Times New Roman" w:hAnsi="Times New Roman" w:cs="Times New Roman"/>
                <w:color w:val="auto"/>
                <w:sz w:val="21"/>
                <w:szCs w:val="21"/>
                <w:lang w:eastAsia="zh-CN"/>
              </w:rPr>
              <w:t>，符合占用湿地条件，</w:t>
            </w:r>
            <w:r>
              <w:rPr>
                <w:rFonts w:hint="eastAsia" w:ascii="Times New Roman" w:cs="Times New Roman"/>
                <w:color w:val="auto"/>
                <w:sz w:val="21"/>
                <w:szCs w:val="21"/>
                <w:lang w:eastAsia="zh-CN"/>
              </w:rPr>
              <w:t>但须</w:t>
            </w:r>
            <w:r>
              <w:rPr>
                <w:rFonts w:hint="eastAsia" w:ascii="Times New Roman" w:hAnsi="Times New Roman" w:cs="Times New Roman"/>
                <w:color w:val="auto"/>
                <w:sz w:val="21"/>
                <w:szCs w:val="21"/>
                <w:lang w:eastAsia="zh-CN"/>
              </w:rPr>
              <w:t>向市政府申请核减，经市政府批复同意核减后，项目方可施工建设。涉及羊山湿地多用途管理区</w:t>
            </w:r>
            <w:r>
              <w:rPr>
                <w:rFonts w:hint="eastAsia" w:ascii="Times New Roman" w:cs="Times New Roman"/>
                <w:color w:val="auto"/>
                <w:sz w:val="21"/>
                <w:szCs w:val="21"/>
                <w:lang w:eastAsia="zh-CN"/>
              </w:rPr>
              <w:t>段线路</w:t>
            </w:r>
            <w:r>
              <w:rPr>
                <w:rFonts w:hint="eastAsia" w:ascii="Times New Roman" w:hAnsi="Times New Roman" w:cs="Times New Roman"/>
                <w:color w:val="auto"/>
                <w:sz w:val="21"/>
                <w:szCs w:val="21"/>
                <w:lang w:eastAsia="zh-CN"/>
              </w:rPr>
              <w:t>，可以开展项目建设，但必须严格按照有关规定，强化生态保护理念，加强项目施工建设及运营的管控，特别是严格控制污染源方面的管控，避免对周边湿地生态环境造成损害</w:t>
            </w:r>
            <w:r>
              <w:rPr>
                <w:rFonts w:hint="eastAsia" w:ascii="Times New Roman" w:cs="Times New Roman"/>
                <w:color w:val="auto"/>
                <w:sz w:val="21"/>
                <w:szCs w:val="21"/>
                <w:lang w:eastAsia="zh-CN"/>
              </w:rPr>
              <w:t>。</w:t>
            </w:r>
          </w:p>
          <w:p>
            <w:pPr>
              <w:pStyle w:val="23"/>
              <w:snapToGrid w:val="0"/>
              <w:ind w:firstLine="420" w:firstLineChars="200"/>
              <w:contextualSpacing/>
              <w:rPr>
                <w:rFonts w:hint="eastAsia" w:ascii="Times New Roman"/>
                <w:color w:val="auto"/>
                <w:sz w:val="21"/>
                <w:szCs w:val="21"/>
                <w:lang w:eastAsia="zh-CN"/>
              </w:rPr>
            </w:pPr>
            <w:r>
              <w:rPr>
                <w:rFonts w:hint="eastAsia" w:ascii="Times New Roman" w:cs="Times New Roman"/>
                <w:color w:val="auto"/>
                <w:sz w:val="21"/>
                <w:szCs w:val="21"/>
                <w:lang w:eastAsia="zh-CN"/>
              </w:rPr>
              <w:t>此外，本工程线路还穿越南渡江龙塘饮用水水源保护区二级水域及陆域和准保护区水域及陆域。输电线路工程属点－（架空）线工程，工程实际扰动区为点状分布，建成运行后除对电磁环境及声环境造成影响外，无其他污染物排放。根据《海南省饮用水水源保护条例》第二十条和第二十一条规定，</w:t>
            </w:r>
            <w:r>
              <w:rPr>
                <w:rFonts w:hint="eastAsia" w:ascii="Times New Roman"/>
                <w:color w:val="auto"/>
                <w:sz w:val="21"/>
                <w:szCs w:val="21"/>
                <w:lang w:eastAsia="zh-CN"/>
              </w:rPr>
              <w:t>本工程并不属于在饮用水水源准保护区和二级保护区内禁止的建设项目，符合环境功能区划要求。</w:t>
            </w:r>
          </w:p>
          <w:p>
            <w:pPr>
              <w:pStyle w:val="23"/>
              <w:snapToGrid w:val="0"/>
              <w:ind w:firstLine="420" w:firstLineChars="200"/>
              <w:contextualSpacing/>
              <w:rPr>
                <w:rFonts w:ascii="Times New Roman"/>
                <w:color w:val="auto"/>
                <w:sz w:val="21"/>
                <w:szCs w:val="21"/>
              </w:rPr>
            </w:pPr>
            <w:r>
              <w:rPr>
                <w:rFonts w:ascii="Times New Roman"/>
                <w:color w:val="auto"/>
                <w:sz w:val="21"/>
                <w:szCs w:val="21"/>
              </w:rPr>
              <w:t>因此本项目的</w:t>
            </w:r>
            <w:r>
              <w:rPr>
                <w:rFonts w:hint="eastAsia" w:ascii="Times New Roman"/>
                <w:color w:val="auto"/>
                <w:sz w:val="21"/>
                <w:szCs w:val="21"/>
                <w:lang w:eastAsia="zh-CN"/>
              </w:rPr>
              <w:t>建设</w:t>
            </w:r>
            <w:r>
              <w:rPr>
                <w:rFonts w:ascii="Times New Roman"/>
                <w:color w:val="auto"/>
                <w:sz w:val="21"/>
                <w:szCs w:val="21"/>
              </w:rPr>
              <w:t>符合相关规划及法规要求。</w:t>
            </w:r>
          </w:p>
          <w:p>
            <w:pPr>
              <w:spacing w:line="440" w:lineRule="exact"/>
              <w:rPr>
                <w:rFonts w:ascii="Times New Roman" w:hAnsi="Times New Roman"/>
                <w:b/>
                <w:bCs/>
                <w:color w:val="auto"/>
              </w:rPr>
            </w:pPr>
            <w:r>
              <w:rPr>
                <w:rFonts w:ascii="Times New Roman" w:hAnsi="Times New Roman"/>
                <w:b/>
                <w:bCs/>
                <w:color w:val="auto"/>
              </w:rPr>
              <w:t>10.1.3环境质量现状</w:t>
            </w:r>
          </w:p>
          <w:p>
            <w:pPr>
              <w:spacing w:line="440" w:lineRule="exact"/>
              <w:ind w:firstLine="420" w:firstLineChars="200"/>
              <w:rPr>
                <w:rFonts w:ascii="Times New Roman" w:hAnsi="Times New Roman"/>
                <w:color w:val="auto"/>
              </w:rPr>
            </w:pPr>
            <w:r>
              <w:rPr>
                <w:rFonts w:ascii="Times New Roman" w:hAnsi="Times New Roman"/>
                <w:color w:val="auto"/>
              </w:rPr>
              <w:t>（1）电磁环境（工频电场、工频磁场）</w:t>
            </w:r>
          </w:p>
          <w:p>
            <w:pPr>
              <w:spacing w:line="360" w:lineRule="auto"/>
              <w:ind w:firstLine="411" w:firstLineChars="196"/>
              <w:rPr>
                <w:rFonts w:hint="eastAsia" w:ascii="Times New Roman" w:hAnsi="Times New Roman"/>
                <w:color w:val="auto"/>
              </w:rPr>
            </w:pPr>
            <w:r>
              <w:rPr>
                <w:rFonts w:hint="eastAsia" w:ascii="Times New Roman" w:hAnsi="Times New Roman"/>
                <w:color w:val="auto"/>
              </w:rPr>
              <w:t>本工程线路沿线环境保护目标处</w:t>
            </w:r>
            <w:r>
              <w:rPr>
                <w:rFonts w:ascii="Times New Roman" w:hAnsi="Times New Roman"/>
                <w:color w:val="auto"/>
              </w:rPr>
              <w:t>工频电场强度</w:t>
            </w:r>
            <w:r>
              <w:rPr>
                <w:rFonts w:hint="eastAsia" w:ascii="Times New Roman" w:hAnsi="Times New Roman"/>
                <w:color w:val="auto"/>
              </w:rPr>
              <w:t>为</w:t>
            </w:r>
            <w:r>
              <w:rPr>
                <w:rFonts w:hint="eastAsia" w:ascii="Times New Roman"/>
                <w:color w:val="auto"/>
                <w:lang w:val="en-US" w:eastAsia="zh-CN"/>
              </w:rPr>
              <w:t>0.1</w:t>
            </w:r>
            <w:r>
              <w:rPr>
                <w:rFonts w:hint="eastAsia" w:ascii="Times New Roman" w:hAnsi="Times New Roman"/>
                <w:color w:val="auto"/>
              </w:rPr>
              <w:t>~</w:t>
            </w:r>
            <w:r>
              <w:rPr>
                <w:rFonts w:hint="eastAsia" w:ascii="Times New Roman" w:hAnsi="Times New Roman"/>
                <w:color w:val="auto"/>
                <w:lang w:val="en-US" w:eastAsia="zh-CN"/>
              </w:rPr>
              <w:t>192.</w:t>
            </w:r>
            <w:r>
              <w:rPr>
                <w:rFonts w:hint="eastAsia" w:ascii="Times New Roman"/>
                <w:color w:val="auto"/>
              </w:rPr>
              <w:t>3</w:t>
            </w:r>
            <w:r>
              <w:rPr>
                <w:rFonts w:ascii="Times New Roman" w:hAnsi="Times New Roman"/>
                <w:color w:val="auto"/>
              </w:rPr>
              <w:t>V/m，工频磁感应强度</w:t>
            </w:r>
            <w:r>
              <w:rPr>
                <w:rFonts w:hint="eastAsia" w:ascii="Times New Roman" w:hAnsi="Times New Roman"/>
                <w:color w:val="auto"/>
              </w:rPr>
              <w:t>为</w:t>
            </w:r>
            <w:r>
              <w:rPr>
                <w:rFonts w:ascii="Times New Roman" w:hAnsi="Times New Roman"/>
                <w:color w:val="auto"/>
              </w:rPr>
              <w:t>0.0</w:t>
            </w:r>
            <w:r>
              <w:rPr>
                <w:rFonts w:hint="eastAsia" w:ascii="Times New Roman" w:hAnsi="Times New Roman"/>
                <w:color w:val="auto"/>
                <w:lang w:val="en-US" w:eastAsia="zh-CN"/>
              </w:rPr>
              <w:t>04</w:t>
            </w:r>
            <w:r>
              <w:rPr>
                <w:rFonts w:hint="eastAsia" w:ascii="Times New Roman" w:hAnsi="Times New Roman"/>
                <w:color w:val="auto"/>
              </w:rPr>
              <w:t>~0.</w:t>
            </w:r>
            <w:r>
              <w:rPr>
                <w:rFonts w:hint="eastAsia" w:ascii="Times New Roman" w:hAnsi="Times New Roman"/>
                <w:color w:val="auto"/>
                <w:lang w:val="en-US" w:eastAsia="zh-CN"/>
              </w:rPr>
              <w:t>383</w:t>
            </w:r>
            <w:r>
              <w:rPr>
                <w:rFonts w:ascii="Times New Roman" w:hAnsi="Times New Roman"/>
                <w:color w:val="auto"/>
              </w:rPr>
              <w:t>μT</w:t>
            </w:r>
            <w:r>
              <w:rPr>
                <w:rFonts w:hint="eastAsia" w:ascii="Times New Roman" w:hAnsi="Times New Roman"/>
                <w:color w:val="auto"/>
              </w:rPr>
              <w:t>，</w:t>
            </w:r>
            <w:r>
              <w:rPr>
                <w:rFonts w:ascii="Times New Roman" w:hAnsi="Times New Roman"/>
                <w:color w:val="auto"/>
              </w:rPr>
              <w:t>工频电场强度、工频磁感应强度</w:t>
            </w:r>
            <w:r>
              <w:rPr>
                <w:rFonts w:hint="eastAsia" w:ascii="Times New Roman" w:hAnsi="Times New Roman"/>
                <w:color w:val="auto"/>
              </w:rPr>
              <w:t>均低于</w:t>
            </w:r>
            <w:r>
              <w:rPr>
                <w:rFonts w:ascii="Times New Roman" w:hAnsi="Times New Roman"/>
                <w:color w:val="auto"/>
              </w:rPr>
              <w:t>公众曝露</w:t>
            </w:r>
            <w:r>
              <w:rPr>
                <w:rFonts w:hint="eastAsia" w:ascii="Times New Roman" w:hAnsi="Times New Roman"/>
                <w:color w:val="auto"/>
              </w:rPr>
              <w:t>控制</w:t>
            </w:r>
            <w:r>
              <w:rPr>
                <w:rFonts w:ascii="Times New Roman" w:hAnsi="Times New Roman"/>
                <w:color w:val="auto"/>
              </w:rPr>
              <w:t>限值4kV/m和100μT的</w:t>
            </w:r>
            <w:r>
              <w:rPr>
                <w:rFonts w:hint="eastAsia" w:ascii="Times New Roman" w:hAnsi="Times New Roman"/>
                <w:color w:val="auto"/>
              </w:rPr>
              <w:t>评价标准</w:t>
            </w:r>
            <w:r>
              <w:rPr>
                <w:rFonts w:ascii="Times New Roman" w:hAnsi="Times New Roman"/>
                <w:color w:val="auto"/>
              </w:rPr>
              <w:t>要求。</w:t>
            </w:r>
          </w:p>
          <w:p>
            <w:pPr>
              <w:spacing w:line="440" w:lineRule="exact"/>
              <w:ind w:firstLine="420" w:firstLineChars="200"/>
              <w:rPr>
                <w:rFonts w:ascii="Times New Roman" w:hAnsi="Times New Roman"/>
                <w:color w:val="auto"/>
              </w:rPr>
            </w:pPr>
            <w:r>
              <w:rPr>
                <w:rFonts w:ascii="Times New Roman" w:hAnsi="Times New Roman"/>
                <w:color w:val="auto"/>
              </w:rPr>
              <w:t>（2）声环境</w:t>
            </w:r>
          </w:p>
          <w:p>
            <w:pPr>
              <w:spacing w:line="440" w:lineRule="exact"/>
              <w:ind w:firstLine="411" w:firstLineChars="196"/>
              <w:rPr>
                <w:rFonts w:hint="eastAsia" w:ascii="Times New Roman" w:hAnsi="Times New Roman"/>
                <w:b/>
                <w:bCs/>
                <w:color w:val="auto"/>
              </w:rPr>
            </w:pPr>
            <w:r>
              <w:rPr>
                <w:rFonts w:hint="eastAsia" w:ascii="Times New Roman" w:hAnsi="Times New Roman"/>
                <w:color w:val="auto"/>
              </w:rPr>
              <w:t>本工线路沿线</w:t>
            </w:r>
            <w:r>
              <w:rPr>
                <w:rFonts w:ascii="Times New Roman" w:hAnsi="Times New Roman"/>
                <w:color w:val="auto"/>
              </w:rPr>
              <w:t>环境保护目标处声环境质量检测值昼间为</w:t>
            </w:r>
            <w:r>
              <w:rPr>
                <w:rFonts w:hint="eastAsia" w:ascii="Times New Roman" w:hAnsi="Times New Roman"/>
                <w:color w:val="auto"/>
              </w:rPr>
              <w:t>3</w:t>
            </w:r>
            <w:r>
              <w:rPr>
                <w:rFonts w:hint="eastAsia" w:ascii="Times New Roman" w:hAnsi="Times New Roman"/>
                <w:color w:val="auto"/>
                <w:lang w:val="en-US" w:eastAsia="zh-CN"/>
              </w:rPr>
              <w:t>6.8</w:t>
            </w:r>
            <w:r>
              <w:rPr>
                <w:rFonts w:hint="eastAsia" w:ascii="Times New Roman" w:hAnsi="Times New Roman"/>
                <w:color w:val="auto"/>
              </w:rPr>
              <w:t>~</w:t>
            </w:r>
            <w:r>
              <w:rPr>
                <w:rFonts w:hint="eastAsia" w:ascii="Times New Roman" w:hAnsi="Times New Roman"/>
                <w:color w:val="auto"/>
                <w:lang w:val="en-US" w:eastAsia="zh-CN"/>
              </w:rPr>
              <w:t>51.2</w:t>
            </w:r>
            <w:r>
              <w:rPr>
                <w:rFonts w:ascii="Times New Roman" w:hAnsi="Times New Roman"/>
                <w:color w:val="auto"/>
              </w:rPr>
              <w:t>dB(A)，夜间为</w:t>
            </w:r>
            <w:r>
              <w:rPr>
                <w:rFonts w:hint="eastAsia" w:ascii="Times New Roman" w:hAnsi="Times New Roman"/>
                <w:color w:val="auto"/>
              </w:rPr>
              <w:t>36.</w:t>
            </w:r>
            <w:r>
              <w:rPr>
                <w:rFonts w:hint="eastAsia" w:ascii="Times New Roman" w:hAnsi="Times New Roman"/>
                <w:color w:val="auto"/>
                <w:lang w:val="en-US" w:eastAsia="zh-CN"/>
              </w:rPr>
              <w:t>2</w:t>
            </w:r>
            <w:r>
              <w:rPr>
                <w:rFonts w:hint="eastAsia" w:ascii="Times New Roman" w:hAnsi="Times New Roman"/>
                <w:color w:val="auto"/>
              </w:rPr>
              <w:t>~4</w:t>
            </w:r>
            <w:r>
              <w:rPr>
                <w:rFonts w:hint="eastAsia" w:ascii="Times New Roman" w:hAnsi="Times New Roman"/>
                <w:color w:val="auto"/>
                <w:lang w:val="en-US" w:eastAsia="zh-CN"/>
              </w:rPr>
              <w:t>4</w:t>
            </w:r>
            <w:r>
              <w:rPr>
                <w:rFonts w:hint="eastAsia" w:ascii="Times New Roman" w:hAnsi="Times New Roman"/>
                <w:color w:val="auto"/>
              </w:rPr>
              <w:t>.6</w:t>
            </w:r>
            <w:r>
              <w:rPr>
                <w:rFonts w:ascii="Times New Roman" w:hAnsi="Times New Roman"/>
                <w:color w:val="auto"/>
              </w:rPr>
              <w:t>dB(A)，</w:t>
            </w:r>
            <w:r>
              <w:rPr>
                <w:rFonts w:hint="eastAsia" w:ascii="Times New Roman" w:hAnsi="Times New Roman"/>
                <w:color w:val="auto"/>
              </w:rPr>
              <w:t>昼、夜间声环境</w:t>
            </w:r>
            <w:r>
              <w:rPr>
                <w:rFonts w:ascii="Times New Roman" w:hAnsi="Times New Roman"/>
                <w:color w:val="auto"/>
              </w:rPr>
              <w:t>均满足《声环境质量标准》（GB3096-2008）</w:t>
            </w:r>
            <w:r>
              <w:rPr>
                <w:rFonts w:hint="eastAsia" w:ascii="Times New Roman" w:hAnsi="Times New Roman"/>
                <w:color w:val="auto"/>
              </w:rPr>
              <w:t>1</w:t>
            </w:r>
            <w:r>
              <w:rPr>
                <w:rFonts w:ascii="Times New Roman" w:hAnsi="Times New Roman"/>
                <w:color w:val="auto"/>
              </w:rPr>
              <w:t>类标准要求。</w:t>
            </w:r>
          </w:p>
          <w:p>
            <w:pPr>
              <w:spacing w:line="440" w:lineRule="exact"/>
              <w:rPr>
                <w:rFonts w:ascii="Times New Roman" w:hAnsi="Times New Roman"/>
                <w:b/>
                <w:bCs/>
                <w:color w:val="auto"/>
              </w:rPr>
            </w:pPr>
            <w:r>
              <w:rPr>
                <w:rFonts w:ascii="Times New Roman" w:hAnsi="Times New Roman"/>
                <w:b/>
                <w:bCs/>
                <w:color w:val="auto"/>
              </w:rPr>
              <w:t>10.1.</w:t>
            </w:r>
            <w:r>
              <w:rPr>
                <w:rFonts w:hint="eastAsia" w:ascii="Times New Roman" w:hAnsi="Times New Roman"/>
                <w:b/>
                <w:bCs/>
                <w:color w:val="auto"/>
              </w:rPr>
              <w:t>4</w:t>
            </w:r>
            <w:r>
              <w:rPr>
                <w:rFonts w:ascii="Times New Roman" w:hAnsi="Times New Roman"/>
                <w:b/>
                <w:bCs/>
                <w:color w:val="auto"/>
              </w:rPr>
              <w:t>预测结果分析</w:t>
            </w:r>
          </w:p>
          <w:p>
            <w:pPr>
              <w:spacing w:line="440" w:lineRule="exact"/>
              <w:ind w:firstLine="420"/>
              <w:rPr>
                <w:rFonts w:hint="eastAsia" w:ascii="Times New Roman" w:hAnsi="Times New Roman"/>
                <w:color w:val="auto"/>
              </w:rPr>
            </w:pPr>
            <w:r>
              <w:rPr>
                <w:rFonts w:ascii="Times New Roman" w:hAnsi="Times New Roman"/>
                <w:color w:val="auto"/>
              </w:rPr>
              <w:t>通过类比分析可知，220kV输电线路运行</w:t>
            </w:r>
            <w:r>
              <w:rPr>
                <w:rFonts w:hint="eastAsia" w:ascii="Times New Roman" w:hAnsi="Times New Roman"/>
                <w:color w:val="auto"/>
              </w:rPr>
              <w:t>后对</w:t>
            </w:r>
            <w:r>
              <w:rPr>
                <w:color w:val="auto"/>
              </w:rPr>
              <w:t>周围环境保护目标声环境的影响昼间、夜间均满足</w:t>
            </w:r>
            <w:r>
              <w:rPr>
                <w:rFonts w:ascii="Times New Roman" w:hAnsi="Times New Roman"/>
                <w:color w:val="auto"/>
              </w:rPr>
              <w:t>《声环境质量标准》（GB3096-2008）</w:t>
            </w:r>
            <w:r>
              <w:rPr>
                <w:rFonts w:hint="eastAsia"/>
                <w:color w:val="auto"/>
              </w:rPr>
              <w:t>相应</w:t>
            </w:r>
            <w:r>
              <w:rPr>
                <w:color w:val="auto"/>
              </w:rPr>
              <w:t>标准</w:t>
            </w:r>
            <w:r>
              <w:rPr>
                <w:rFonts w:ascii="Times New Roman" w:hAnsi="Times New Roman"/>
                <w:color w:val="auto"/>
              </w:rPr>
              <w:t>要求。</w:t>
            </w:r>
          </w:p>
          <w:p>
            <w:pPr>
              <w:spacing w:line="440" w:lineRule="exact"/>
              <w:ind w:firstLine="420"/>
              <w:rPr>
                <w:rFonts w:ascii="Times New Roman" w:hAnsi="Times New Roman"/>
                <w:color w:val="auto"/>
              </w:rPr>
            </w:pPr>
            <w:r>
              <w:rPr>
                <w:rFonts w:ascii="Times New Roman" w:hAnsi="Times New Roman"/>
                <w:color w:val="auto"/>
              </w:rPr>
              <w:t>通过类比分析可知，220kV输电线路运行产生的工频电场强度、工频磁感应强度满足工频电场强度4kV/m，工频磁感应强度100μT的评价标准要求。</w:t>
            </w:r>
          </w:p>
          <w:p>
            <w:pPr>
              <w:pStyle w:val="23"/>
              <w:ind w:firstLine="420" w:firstLineChars="200"/>
              <w:rPr>
                <w:rFonts w:ascii="Times New Roman"/>
                <w:color w:val="auto"/>
                <w:kern w:val="2"/>
                <w:sz w:val="21"/>
                <w:szCs w:val="21"/>
              </w:rPr>
            </w:pPr>
            <w:r>
              <w:rPr>
                <w:rFonts w:ascii="Times New Roman"/>
                <w:color w:val="auto"/>
                <w:kern w:val="2"/>
                <w:sz w:val="21"/>
                <w:szCs w:val="21"/>
              </w:rPr>
              <w:t>通过理论计算结果表明：根据《110-750kV架空送电线路设计技术规程》的要求，</w:t>
            </w:r>
            <w:r>
              <w:rPr>
                <w:rFonts w:hint="eastAsia" w:ascii="Times New Roman"/>
                <w:color w:val="auto"/>
                <w:kern w:val="2"/>
                <w:sz w:val="21"/>
                <w:szCs w:val="21"/>
              </w:rPr>
              <w:t>220</w:t>
            </w:r>
            <w:r>
              <w:rPr>
                <w:rFonts w:ascii="Times New Roman"/>
                <w:color w:val="auto"/>
                <w:kern w:val="2"/>
                <w:sz w:val="21"/>
                <w:szCs w:val="21"/>
              </w:rPr>
              <w:t>kV</w:t>
            </w:r>
            <w:r>
              <w:rPr>
                <w:rFonts w:hint="eastAsia" w:ascii="Times New Roman"/>
                <w:color w:val="auto"/>
                <w:kern w:val="2"/>
                <w:sz w:val="21"/>
                <w:szCs w:val="21"/>
              </w:rPr>
              <w:t>架空输电线路导线对地高度为1</w:t>
            </w:r>
            <w:r>
              <w:rPr>
                <w:rFonts w:hint="eastAsia" w:ascii="Times New Roman"/>
                <w:color w:val="auto"/>
                <w:kern w:val="2"/>
                <w:sz w:val="21"/>
                <w:szCs w:val="21"/>
                <w:lang w:val="en-US" w:eastAsia="zh-CN"/>
              </w:rPr>
              <w:t>1</w:t>
            </w:r>
            <w:r>
              <w:rPr>
                <w:rFonts w:ascii="Times New Roman"/>
                <w:color w:val="auto"/>
                <w:kern w:val="2"/>
                <w:sz w:val="21"/>
                <w:szCs w:val="21"/>
              </w:rPr>
              <w:t>m</w:t>
            </w:r>
            <w:r>
              <w:rPr>
                <w:rFonts w:hint="eastAsia" w:ascii="Times New Roman"/>
                <w:color w:val="auto"/>
                <w:kern w:val="2"/>
                <w:sz w:val="21"/>
                <w:szCs w:val="21"/>
              </w:rPr>
              <w:t>时，</w:t>
            </w:r>
            <w:r>
              <w:rPr>
                <w:rFonts w:ascii="Times New Roman"/>
                <w:color w:val="auto"/>
                <w:kern w:val="2"/>
                <w:sz w:val="21"/>
                <w:szCs w:val="21"/>
              </w:rPr>
              <w:t>不论排列方式如何，在地面1.5m高度处</w:t>
            </w:r>
            <w:r>
              <w:rPr>
                <w:rFonts w:hint="eastAsia" w:ascii="Times New Roman"/>
                <w:color w:val="auto"/>
                <w:kern w:val="2"/>
                <w:sz w:val="21"/>
                <w:szCs w:val="21"/>
              </w:rPr>
              <w:t>产生的工频电场强度、工频磁感应强度均小于《电磁环境控制限值》（GB 8702-2014）中规定的工频电场强度、工频磁感应强度分别满足4kV/m（公众曝露控制限值），10kV/m（架空线路经过耕地、林地、道路等场所时）、100μT控制标准的要求。</w:t>
            </w:r>
            <w:r>
              <w:rPr>
                <w:rFonts w:hint="eastAsia" w:ascii="Times New Roman"/>
                <w:color w:val="auto"/>
                <w:kern w:val="2"/>
                <w:sz w:val="21"/>
                <w:szCs w:val="21"/>
                <w:lang w:eastAsia="zh-CN"/>
              </w:rPr>
              <w:t>当导线对地高度</w:t>
            </w:r>
            <w:r>
              <w:rPr>
                <w:rFonts w:hint="eastAsia" w:ascii="Times New Roman"/>
                <w:color w:val="auto"/>
                <w:kern w:val="2"/>
                <w:sz w:val="21"/>
                <w:szCs w:val="21"/>
              </w:rPr>
              <w:t>为1</w:t>
            </w:r>
            <w:r>
              <w:rPr>
                <w:rFonts w:hint="eastAsia" w:ascii="Times New Roman"/>
                <w:color w:val="auto"/>
                <w:kern w:val="2"/>
                <w:sz w:val="21"/>
                <w:szCs w:val="21"/>
                <w:lang w:val="en-US" w:eastAsia="zh-CN"/>
              </w:rPr>
              <w:t>9</w:t>
            </w:r>
            <w:r>
              <w:rPr>
                <w:rFonts w:hint="eastAsia" w:ascii="Times New Roman"/>
                <w:color w:val="auto"/>
                <w:kern w:val="2"/>
                <w:sz w:val="21"/>
                <w:szCs w:val="21"/>
              </w:rPr>
              <w:t>m，线路</w:t>
            </w:r>
            <w:r>
              <w:rPr>
                <w:rFonts w:hint="eastAsia" w:ascii="Times New Roman"/>
                <w:color w:val="auto"/>
                <w:kern w:val="2"/>
                <w:sz w:val="21"/>
                <w:szCs w:val="21"/>
                <w:lang w:eastAsia="zh-CN"/>
              </w:rPr>
              <w:t>跨越民房及线路</w:t>
            </w:r>
            <w:r>
              <w:rPr>
                <w:rFonts w:hint="eastAsia" w:ascii="Times New Roman"/>
                <w:color w:val="auto"/>
                <w:kern w:val="2"/>
                <w:sz w:val="21"/>
                <w:szCs w:val="21"/>
              </w:rPr>
              <w:t>边导线外2m处有民房时，</w:t>
            </w:r>
            <w:r>
              <w:rPr>
                <w:rFonts w:hint="eastAsia" w:ascii="Times New Roman"/>
                <w:color w:val="auto"/>
                <w:kern w:val="2"/>
                <w:sz w:val="21"/>
                <w:szCs w:val="21"/>
                <w:lang w:eastAsia="zh-CN"/>
              </w:rPr>
              <w:t>不论</w:t>
            </w:r>
            <w:r>
              <w:rPr>
                <w:rFonts w:hint="eastAsia" w:ascii="Times New Roman"/>
                <w:color w:val="auto"/>
                <w:kern w:val="2"/>
                <w:sz w:val="21"/>
                <w:szCs w:val="21"/>
              </w:rPr>
              <w:t>排列方式如何，民房的一层、二层、三层</w:t>
            </w:r>
            <w:r>
              <w:rPr>
                <w:rFonts w:hint="eastAsia" w:ascii="Times New Roman"/>
                <w:color w:val="auto"/>
                <w:kern w:val="2"/>
                <w:sz w:val="21"/>
                <w:szCs w:val="21"/>
                <w:lang w:eastAsia="zh-CN"/>
              </w:rPr>
              <w:t>及四层楼顶</w:t>
            </w:r>
            <w:r>
              <w:rPr>
                <w:rFonts w:hint="eastAsia" w:ascii="Times New Roman"/>
                <w:color w:val="auto"/>
                <w:kern w:val="2"/>
                <w:sz w:val="21"/>
                <w:szCs w:val="21"/>
              </w:rPr>
              <w:t>处</w:t>
            </w:r>
            <w:r>
              <w:rPr>
                <w:rFonts w:hint="eastAsia" w:ascii="Times New Roman"/>
                <w:color w:val="auto"/>
                <w:kern w:val="2"/>
                <w:sz w:val="21"/>
                <w:szCs w:val="21"/>
                <w:lang w:eastAsia="zh-CN"/>
              </w:rPr>
              <w:t>的</w:t>
            </w:r>
            <w:r>
              <w:rPr>
                <w:rFonts w:hint="eastAsia" w:ascii="Times New Roman"/>
                <w:color w:val="auto"/>
                <w:kern w:val="2"/>
                <w:sz w:val="21"/>
                <w:szCs w:val="21"/>
              </w:rPr>
              <w:t>工频电场强度、工频磁感应强度均能满足4kV/m的标准</w:t>
            </w:r>
            <w:r>
              <w:rPr>
                <w:rFonts w:hint="eastAsia" w:ascii="Times New Roman"/>
                <w:color w:val="auto"/>
                <w:kern w:val="2"/>
                <w:sz w:val="21"/>
                <w:szCs w:val="21"/>
                <w:lang w:eastAsia="zh-CN"/>
              </w:rPr>
              <w:t>限值要求</w:t>
            </w:r>
            <w:r>
              <w:rPr>
                <w:rFonts w:hint="eastAsia" w:ascii="Times New Roman"/>
                <w:color w:val="auto"/>
                <w:kern w:val="2"/>
                <w:sz w:val="21"/>
                <w:szCs w:val="21"/>
              </w:rPr>
              <w:t>。</w:t>
            </w:r>
          </w:p>
          <w:p>
            <w:pPr>
              <w:snapToGrid w:val="0"/>
              <w:spacing w:line="440" w:lineRule="exact"/>
              <w:contextualSpacing/>
              <w:outlineLvl w:val="1"/>
              <w:rPr>
                <w:rFonts w:ascii="Times New Roman"/>
                <w:b/>
                <w:color w:val="auto"/>
              </w:rPr>
            </w:pPr>
            <w:r>
              <w:rPr>
                <w:rFonts w:ascii="Times New Roman"/>
                <w:b/>
                <w:color w:val="auto"/>
              </w:rPr>
              <w:t>10.1.</w:t>
            </w:r>
            <w:r>
              <w:rPr>
                <w:rFonts w:hint="eastAsia" w:ascii="Times New Roman"/>
                <w:b/>
                <w:color w:val="auto"/>
              </w:rPr>
              <w:t>5防治</w:t>
            </w:r>
            <w:r>
              <w:rPr>
                <w:rFonts w:ascii="Times New Roman"/>
                <w:b/>
                <w:color w:val="auto"/>
              </w:rPr>
              <w:t>措施</w:t>
            </w:r>
          </w:p>
          <w:p>
            <w:pPr>
              <w:pStyle w:val="23"/>
              <w:ind w:firstLine="420" w:firstLineChars="200"/>
              <w:rPr>
                <w:rFonts w:hint="eastAsia" w:ascii="Times New Roman"/>
                <w:color w:val="auto"/>
                <w:kern w:val="2"/>
                <w:sz w:val="21"/>
                <w:szCs w:val="21"/>
              </w:rPr>
            </w:pPr>
            <w:r>
              <w:rPr>
                <w:rFonts w:hint="eastAsia" w:ascii="Times New Roman"/>
                <w:color w:val="auto"/>
                <w:sz w:val="21"/>
                <w:szCs w:val="21"/>
                <w:lang w:eastAsia="zh-CN"/>
              </w:rPr>
              <w:t>涉及敏感区的塔基和牵张场、施工便道等临时用地选址需避让敏感植被和重要湿地资源，并经相关权属部门同意后方可施工。</w:t>
            </w:r>
            <w:r>
              <w:rPr>
                <w:rFonts w:ascii="Times New Roman"/>
                <w:color w:val="auto"/>
                <w:sz w:val="21"/>
                <w:szCs w:val="21"/>
              </w:rPr>
              <w:t>220kV输电线路工程施工人员一般租用当地民房居住，少量生活污水可纳入当地已有的生活污水处理设施，施工产生的土方等要合理堆放，并进行覆盖处理，并在施工区及运输路段定期进行洒水防尘；生活垃圾及时收集、清理和转运；</w:t>
            </w:r>
            <w:r>
              <w:rPr>
                <w:rFonts w:hint="eastAsia" w:ascii="Times New Roman"/>
                <w:color w:val="auto"/>
                <w:sz w:val="21"/>
                <w:szCs w:val="21"/>
                <w:lang w:eastAsia="zh-CN"/>
              </w:rPr>
              <w:t>施工过程</w:t>
            </w:r>
            <w:r>
              <w:rPr>
                <w:rFonts w:hint="eastAsia" w:ascii="Times New Roman"/>
                <w:color w:val="auto"/>
                <w:sz w:val="21"/>
                <w:szCs w:val="21"/>
              </w:rPr>
              <w:t>中选用低噪声的施工设备，从设备上控制噪声源对环境的影响；</w:t>
            </w:r>
            <w:r>
              <w:rPr>
                <w:rFonts w:ascii="Times New Roman"/>
                <w:color w:val="auto"/>
                <w:sz w:val="21"/>
                <w:szCs w:val="21"/>
              </w:rPr>
              <w:t>线路施工结束后对塔基进行植被恢复处理，临时占地地表进行植被恢复，把对线路路径地区的生态环境影响降到最低。</w:t>
            </w:r>
            <w:r>
              <w:rPr>
                <w:rFonts w:ascii="Times New Roman"/>
                <w:color w:val="auto"/>
                <w:kern w:val="2"/>
                <w:sz w:val="21"/>
                <w:szCs w:val="21"/>
              </w:rPr>
              <w:t>本工程220kV线路保证对地</w:t>
            </w:r>
            <w:r>
              <w:rPr>
                <w:rFonts w:hint="eastAsia" w:ascii="Times New Roman"/>
                <w:color w:val="auto"/>
                <w:kern w:val="2"/>
                <w:sz w:val="21"/>
                <w:szCs w:val="21"/>
              </w:rPr>
              <w:t>1</w:t>
            </w:r>
            <w:r>
              <w:rPr>
                <w:rFonts w:hint="eastAsia" w:ascii="Times New Roman"/>
                <w:color w:val="auto"/>
                <w:kern w:val="2"/>
                <w:sz w:val="21"/>
                <w:szCs w:val="21"/>
                <w:lang w:val="en-US" w:eastAsia="zh-CN"/>
              </w:rPr>
              <w:t>1</w:t>
            </w:r>
            <w:r>
              <w:rPr>
                <w:rFonts w:ascii="Times New Roman"/>
                <w:color w:val="auto"/>
                <w:kern w:val="2"/>
                <w:sz w:val="21"/>
                <w:szCs w:val="21"/>
              </w:rPr>
              <w:t>m的净空高度，不论排列方式如何，工频电场强度、工频磁感应强度分别满足</w:t>
            </w:r>
            <w:r>
              <w:rPr>
                <w:rFonts w:hint="eastAsia" w:ascii="Times New Roman"/>
                <w:color w:val="auto"/>
                <w:kern w:val="2"/>
                <w:sz w:val="21"/>
                <w:szCs w:val="21"/>
              </w:rPr>
              <w:t>4</w:t>
            </w:r>
            <w:r>
              <w:rPr>
                <w:rFonts w:ascii="Times New Roman"/>
                <w:color w:val="auto"/>
                <w:kern w:val="2"/>
                <w:sz w:val="21"/>
                <w:szCs w:val="21"/>
              </w:rPr>
              <w:t>k</w:t>
            </w:r>
            <w:r>
              <w:rPr>
                <w:rFonts w:hint="eastAsia" w:ascii="Times New Roman"/>
                <w:color w:val="auto"/>
                <w:kern w:val="2"/>
                <w:sz w:val="21"/>
                <w:szCs w:val="21"/>
              </w:rPr>
              <w:t>V/m（公众曝露控制限值），1</w:t>
            </w:r>
            <w:r>
              <w:rPr>
                <w:rFonts w:ascii="Times New Roman"/>
                <w:color w:val="auto"/>
                <w:kern w:val="2"/>
                <w:sz w:val="21"/>
                <w:szCs w:val="21"/>
              </w:rPr>
              <w:t>0k</w:t>
            </w:r>
            <w:r>
              <w:rPr>
                <w:rFonts w:hint="eastAsia" w:ascii="Times New Roman"/>
                <w:color w:val="auto"/>
                <w:kern w:val="2"/>
                <w:sz w:val="21"/>
                <w:szCs w:val="21"/>
              </w:rPr>
              <w:t>V/m（架空线路经过耕地、林地、道路等场所时）</w:t>
            </w:r>
            <w:r>
              <w:rPr>
                <w:rFonts w:ascii="Times New Roman"/>
                <w:color w:val="auto"/>
                <w:kern w:val="2"/>
                <w:sz w:val="21"/>
                <w:szCs w:val="21"/>
              </w:rPr>
              <w:t>、100μT控制标准的要求。</w:t>
            </w:r>
          </w:p>
          <w:p>
            <w:pPr>
              <w:spacing w:line="440" w:lineRule="exact"/>
              <w:rPr>
                <w:rFonts w:ascii="Times New Roman" w:hAnsi="Times New Roman"/>
                <w:b/>
                <w:bCs/>
                <w:color w:val="auto"/>
              </w:rPr>
            </w:pPr>
            <w:r>
              <w:rPr>
                <w:rFonts w:ascii="Times New Roman" w:hAnsi="Times New Roman"/>
                <w:b/>
                <w:bCs/>
                <w:color w:val="auto"/>
              </w:rPr>
              <w:t>10.1.</w:t>
            </w:r>
            <w:r>
              <w:rPr>
                <w:rFonts w:hint="eastAsia" w:ascii="Times New Roman" w:hAnsi="Times New Roman"/>
                <w:b/>
                <w:bCs/>
                <w:color w:val="auto"/>
              </w:rPr>
              <w:t>6</w:t>
            </w:r>
            <w:r>
              <w:rPr>
                <w:rFonts w:ascii="Times New Roman" w:hAnsi="Times New Roman"/>
                <w:b/>
                <w:bCs/>
                <w:color w:val="auto"/>
              </w:rPr>
              <w:t>评价总结论</w:t>
            </w:r>
          </w:p>
          <w:p>
            <w:pPr>
              <w:snapToGrid w:val="0"/>
              <w:spacing w:line="440" w:lineRule="exact"/>
              <w:ind w:firstLine="411" w:firstLineChars="196"/>
              <w:contextualSpacing/>
              <w:rPr>
                <w:rFonts w:hint="eastAsia" w:ascii="Times New Roman" w:hAnsi="Times New Roman"/>
                <w:color w:val="auto"/>
              </w:rPr>
            </w:pPr>
            <w:r>
              <w:rPr>
                <w:rFonts w:ascii="Times New Roman" w:hAnsi="Times New Roman"/>
                <w:color w:val="auto"/>
              </w:rPr>
              <w:t>综上所述，本次环评中，本工程在实施了环评中所提出的各项措施后，工程施工和运行对环境的影响较小，满足国家相应标准的要求</w:t>
            </w:r>
            <w:r>
              <w:rPr>
                <w:rFonts w:hint="eastAsia" w:ascii="Times New Roman" w:hAnsi="Times New Roman"/>
                <w:color w:val="auto"/>
                <w:lang w:eastAsia="zh-CN"/>
              </w:rPr>
              <w:t>。</w:t>
            </w:r>
            <w:r>
              <w:rPr>
                <w:rFonts w:ascii="Times New Roman" w:hAnsi="Times New Roman"/>
                <w:color w:val="auto"/>
              </w:rPr>
              <w:t>从环境保护角度考虑</w:t>
            </w:r>
            <w:r>
              <w:rPr>
                <w:rFonts w:hint="eastAsia" w:ascii="Times New Roman" w:hAnsi="Times New Roman"/>
                <w:color w:val="auto"/>
              </w:rPr>
              <w:t>，</w:t>
            </w:r>
            <w:r>
              <w:rPr>
                <w:rFonts w:hint="eastAsia" w:ascii="Times New Roman" w:hAnsi="Times New Roman"/>
                <w:color w:val="auto"/>
                <w:lang w:eastAsia="zh-CN"/>
              </w:rPr>
              <w:t>文昌气电π接</w:t>
            </w:r>
            <w:r>
              <w:rPr>
                <w:rFonts w:hint="eastAsia" w:ascii="Times New Roman" w:hAnsi="Times New Roman"/>
                <w:color w:val="auto"/>
              </w:rPr>
              <w:t>220kV</w:t>
            </w:r>
            <w:r>
              <w:rPr>
                <w:rFonts w:hint="eastAsia" w:ascii="Times New Roman" w:hAnsi="Times New Roman"/>
                <w:color w:val="auto"/>
                <w:lang w:eastAsia="zh-CN"/>
              </w:rPr>
              <w:t>玉洲至江东</w:t>
            </w:r>
            <w:r>
              <w:rPr>
                <w:rFonts w:hint="eastAsia" w:ascii="Times New Roman" w:hAnsi="Times New Roman"/>
                <w:color w:val="auto"/>
              </w:rPr>
              <w:t>线路新建工程是可行的。</w:t>
            </w:r>
          </w:p>
          <w:p>
            <w:pPr>
              <w:snapToGrid w:val="0"/>
              <w:spacing w:line="360" w:lineRule="auto"/>
              <w:contextualSpacing/>
              <w:rPr>
                <w:rFonts w:hint="eastAsia" w:ascii="Times New Roman" w:hAnsi="Times New Roman"/>
                <w:color w:val="auto"/>
              </w:rPr>
            </w:pPr>
          </w:p>
        </w:tc>
      </w:tr>
    </w:tbl>
    <w:p>
      <w:pPr>
        <w:spacing w:line="480" w:lineRule="auto"/>
        <w:jc w:val="center"/>
        <w:rPr>
          <w:rFonts w:ascii="Times New Roman" w:hAnsi="Times New Roman"/>
          <w:b/>
          <w:color w:val="auto"/>
        </w:rPr>
        <w:sectPr>
          <w:headerReference r:id="rId5" w:type="default"/>
          <w:footerReference r:id="rId6" w:type="default"/>
          <w:pgSz w:w="11906" w:h="16838"/>
          <w:pgMar w:top="1440" w:right="1457" w:bottom="1440" w:left="1457" w:header="851" w:footer="992" w:gutter="0"/>
          <w:pgBorders>
            <w:top w:val="none" w:sz="0" w:space="0"/>
            <w:left w:val="none" w:sz="0" w:space="0"/>
            <w:bottom w:val="none" w:sz="0" w:space="0"/>
            <w:right w:val="none" w:sz="0" w:space="0"/>
          </w:pgBorders>
          <w:pgNumType w:start="1"/>
          <w:cols w:space="720" w:num="1"/>
          <w:rtlGutter w:val="0"/>
          <w:docGrid w:type="linesAndChars" w:linePitch="312" w:charSpace="0"/>
        </w:sectPr>
      </w:pPr>
    </w:p>
    <w:tbl>
      <w:tblPr>
        <w:tblStyle w:val="50"/>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64" w:hRule="atLeast"/>
        </w:trPr>
        <w:tc>
          <w:tcPr>
            <w:tcW w:w="8856" w:type="dxa"/>
            <w:tcBorders>
              <w:top w:val="single" w:color="auto" w:sz="6" w:space="0"/>
              <w:bottom w:val="single" w:color="auto" w:sz="6" w:space="0"/>
            </w:tcBorders>
            <w:vAlign w:val="top"/>
          </w:tcPr>
          <w:p>
            <w:pPr>
              <w:spacing w:line="240" w:lineRule="atLeast"/>
              <w:rPr>
                <w:rFonts w:ascii="Times New Roman" w:hAnsi="Times New Roman"/>
                <w:b/>
                <w:color w:val="auto"/>
                <w:szCs w:val="20"/>
              </w:rPr>
            </w:pPr>
            <w:r>
              <w:rPr>
                <w:rFonts w:ascii="Times New Roman" w:hAnsi="Times New Roman"/>
                <w:b/>
                <w:color w:val="auto"/>
                <w:szCs w:val="20"/>
              </w:rPr>
              <w:t>预审意见：</w:t>
            </w: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hint="eastAsia" w:ascii="Times New Roman" w:hAnsi="Times New Roman"/>
                <w:color w:val="auto"/>
                <w:szCs w:val="20"/>
              </w:rPr>
            </w:pPr>
          </w:p>
          <w:p>
            <w:pPr>
              <w:spacing w:line="240" w:lineRule="atLeast"/>
              <w:rPr>
                <w:rFonts w:hint="eastAsia"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b/>
                <w:color w:val="auto"/>
                <w:szCs w:val="20"/>
              </w:rPr>
            </w:pPr>
            <w:r>
              <w:rPr>
                <w:rFonts w:ascii="Times New Roman" w:hAnsi="Times New Roman"/>
                <w:color w:val="auto"/>
                <w:szCs w:val="20"/>
              </w:rPr>
              <w:t xml:space="preserve">                                                         </w:t>
            </w:r>
            <w:r>
              <w:rPr>
                <w:rFonts w:ascii="Times New Roman" w:hAnsi="Times New Roman"/>
                <w:b/>
                <w:color w:val="auto"/>
                <w:szCs w:val="20"/>
              </w:rPr>
              <w:t xml:space="preserve"> 公  章</w:t>
            </w: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r>
              <w:rPr>
                <w:rFonts w:ascii="Times New Roman" w:hAnsi="Times New Roman"/>
                <w:b/>
                <w:color w:val="auto"/>
                <w:szCs w:val="20"/>
              </w:rPr>
              <w:t xml:space="preserve">经办人：  </w:t>
            </w:r>
            <w:r>
              <w:rPr>
                <w:rFonts w:ascii="Times New Roman" w:hAnsi="Times New Roman"/>
                <w:color w:val="auto"/>
                <w:szCs w:val="20"/>
              </w:rPr>
              <w:t xml:space="preserve">                                        </w:t>
            </w:r>
            <w:r>
              <w:rPr>
                <w:rFonts w:ascii="Times New Roman" w:hAnsi="Times New Roman"/>
                <w:b/>
                <w:color w:val="auto"/>
                <w:szCs w:val="2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04" w:hRule="atLeast"/>
        </w:trPr>
        <w:tc>
          <w:tcPr>
            <w:tcW w:w="8856" w:type="dxa"/>
            <w:tcBorders>
              <w:top w:val="single" w:color="auto" w:sz="6" w:space="0"/>
              <w:bottom w:val="single" w:color="auto" w:sz="4" w:space="0"/>
            </w:tcBorders>
            <w:vAlign w:val="top"/>
          </w:tcPr>
          <w:p>
            <w:pPr>
              <w:spacing w:line="240" w:lineRule="atLeast"/>
              <w:rPr>
                <w:rFonts w:ascii="Times New Roman" w:hAnsi="Times New Roman"/>
                <w:b/>
                <w:color w:val="auto"/>
                <w:szCs w:val="20"/>
              </w:rPr>
            </w:pPr>
            <w:r>
              <w:rPr>
                <w:rFonts w:ascii="Times New Roman" w:hAnsi="Times New Roman"/>
                <w:b/>
                <w:color w:val="auto"/>
                <w:szCs w:val="20"/>
              </w:rPr>
              <w:t>下一级环境保护行政主管部门审查意见：</w:t>
            </w: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hint="eastAsia" w:ascii="Times New Roman" w:hAnsi="Times New Roman"/>
                <w:color w:val="auto"/>
                <w:szCs w:val="20"/>
              </w:rPr>
            </w:pPr>
          </w:p>
          <w:p>
            <w:pPr>
              <w:spacing w:line="240" w:lineRule="atLeast"/>
              <w:rPr>
                <w:rFonts w:hint="eastAsia" w:ascii="Times New Roman" w:hAnsi="Times New Roman"/>
                <w:color w:val="auto"/>
                <w:szCs w:val="20"/>
              </w:rPr>
            </w:pPr>
          </w:p>
          <w:p>
            <w:pPr>
              <w:spacing w:line="240" w:lineRule="atLeast"/>
              <w:rPr>
                <w:rFonts w:hint="eastAsia" w:ascii="Times New Roman" w:hAnsi="Times New Roman"/>
                <w:color w:val="auto"/>
                <w:szCs w:val="20"/>
              </w:rPr>
            </w:pPr>
          </w:p>
          <w:p>
            <w:pPr>
              <w:spacing w:line="240" w:lineRule="atLeast"/>
              <w:rPr>
                <w:rFonts w:hint="eastAsia"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hint="eastAsia" w:ascii="Times New Roman" w:hAnsi="Times New Roman"/>
                <w:color w:val="auto"/>
                <w:szCs w:val="20"/>
              </w:rPr>
            </w:pPr>
          </w:p>
          <w:p>
            <w:pPr>
              <w:spacing w:line="240" w:lineRule="atLeast"/>
              <w:rPr>
                <w:rFonts w:hint="eastAsia"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b/>
                <w:color w:val="auto"/>
                <w:szCs w:val="20"/>
              </w:rPr>
            </w:pPr>
            <w:r>
              <w:rPr>
                <w:rFonts w:ascii="Times New Roman" w:hAnsi="Times New Roman"/>
                <w:color w:val="auto"/>
                <w:szCs w:val="20"/>
              </w:rPr>
              <w:t xml:space="preserve">                                                       </w:t>
            </w:r>
            <w:r>
              <w:rPr>
                <w:rFonts w:ascii="Times New Roman" w:hAnsi="Times New Roman"/>
                <w:b/>
                <w:color w:val="auto"/>
                <w:szCs w:val="20"/>
              </w:rPr>
              <w:t xml:space="preserve">  公  章</w:t>
            </w: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r>
              <w:rPr>
                <w:rFonts w:ascii="Times New Roman" w:hAnsi="Times New Roman"/>
                <w:b/>
                <w:color w:val="auto"/>
                <w:szCs w:val="20"/>
              </w:rPr>
              <w:t>经办人：</w:t>
            </w:r>
            <w:r>
              <w:rPr>
                <w:rFonts w:ascii="Times New Roman" w:hAnsi="Times New Roman"/>
                <w:color w:val="auto"/>
                <w:szCs w:val="20"/>
              </w:rPr>
              <w:t xml:space="preserve">                                          </w:t>
            </w:r>
            <w:r>
              <w:rPr>
                <w:rFonts w:ascii="Times New Roman" w:hAnsi="Times New Roman"/>
                <w:b/>
                <w:color w:val="auto"/>
                <w:szCs w:val="2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34" w:hRule="atLeast"/>
        </w:trPr>
        <w:tc>
          <w:tcPr>
            <w:tcW w:w="8856" w:type="dxa"/>
            <w:tcBorders>
              <w:top w:val="single" w:color="auto" w:sz="6" w:space="0"/>
              <w:bottom w:val="single" w:color="auto" w:sz="4" w:space="0"/>
            </w:tcBorders>
            <w:vAlign w:val="top"/>
          </w:tcPr>
          <w:p>
            <w:pPr>
              <w:spacing w:line="240" w:lineRule="atLeast"/>
              <w:rPr>
                <w:rFonts w:ascii="Times New Roman" w:hAnsi="Times New Roman"/>
                <w:b/>
                <w:color w:val="auto"/>
                <w:szCs w:val="20"/>
              </w:rPr>
            </w:pPr>
            <w:r>
              <w:rPr>
                <w:rFonts w:ascii="Times New Roman" w:hAnsi="Times New Roman"/>
                <w:b/>
                <w:color w:val="auto"/>
                <w:szCs w:val="20"/>
              </w:rPr>
              <w:t>审批意见：</w:t>
            </w: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hint="eastAsia"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p>
          <w:p>
            <w:pPr>
              <w:spacing w:line="240" w:lineRule="atLeast"/>
              <w:rPr>
                <w:rFonts w:ascii="Times New Roman" w:hAnsi="Times New Roman"/>
                <w:color w:val="auto"/>
                <w:szCs w:val="20"/>
              </w:rPr>
            </w:pPr>
            <w:r>
              <w:rPr>
                <w:rFonts w:ascii="Times New Roman" w:hAnsi="Times New Roman"/>
                <w:color w:val="auto"/>
                <w:szCs w:val="20"/>
              </w:rPr>
              <w:t xml:space="preserve">                                                        </w:t>
            </w:r>
          </w:p>
          <w:p>
            <w:pPr>
              <w:spacing w:line="240" w:lineRule="atLeast"/>
              <w:rPr>
                <w:rFonts w:ascii="Times New Roman" w:hAnsi="Times New Roman"/>
                <w:b/>
                <w:color w:val="auto"/>
                <w:szCs w:val="20"/>
              </w:rPr>
            </w:pPr>
            <w:r>
              <w:rPr>
                <w:rFonts w:ascii="Times New Roman" w:hAnsi="Times New Roman"/>
                <w:color w:val="auto"/>
                <w:szCs w:val="20"/>
              </w:rPr>
              <w:t xml:space="preserve">                                              </w:t>
            </w:r>
            <w:bookmarkStart w:id="48" w:name="_Toc177441972"/>
            <w:bookmarkStart w:id="49" w:name="_Toc177393977"/>
            <w:bookmarkStart w:id="50" w:name="_Toc177394561"/>
            <w:bookmarkStart w:id="51" w:name="_Toc177442768"/>
            <w:bookmarkStart w:id="52" w:name="_Toc208651322"/>
            <w:bookmarkStart w:id="53" w:name="_Toc203907159"/>
            <w:bookmarkStart w:id="54" w:name="_Toc120890977"/>
            <w:r>
              <w:rPr>
                <w:rFonts w:ascii="Times New Roman" w:hAnsi="Times New Roman"/>
                <w:color w:val="auto"/>
                <w:szCs w:val="20"/>
              </w:rPr>
              <w:t xml:space="preserve"> </w:t>
            </w:r>
            <w:bookmarkEnd w:id="48"/>
            <w:bookmarkEnd w:id="49"/>
            <w:bookmarkEnd w:id="50"/>
            <w:bookmarkEnd w:id="51"/>
            <w:bookmarkEnd w:id="52"/>
            <w:bookmarkEnd w:id="53"/>
            <w:bookmarkEnd w:id="54"/>
            <w:r>
              <w:rPr>
                <w:rFonts w:ascii="Times New Roman" w:hAnsi="Times New Roman"/>
                <w:color w:val="auto"/>
                <w:szCs w:val="20"/>
              </w:rPr>
              <w:t xml:space="preserve">         </w:t>
            </w:r>
            <w:r>
              <w:rPr>
                <w:rFonts w:ascii="Times New Roman" w:hAnsi="Times New Roman"/>
                <w:b/>
                <w:color w:val="auto"/>
                <w:szCs w:val="20"/>
              </w:rPr>
              <w:t>公  章</w:t>
            </w:r>
          </w:p>
          <w:p>
            <w:pPr>
              <w:spacing w:line="240" w:lineRule="atLeast"/>
              <w:rPr>
                <w:rFonts w:ascii="Times New Roman" w:hAnsi="Times New Roman"/>
                <w:b/>
                <w:color w:val="auto"/>
                <w:szCs w:val="20"/>
              </w:rPr>
            </w:pPr>
            <w:r>
              <w:rPr>
                <w:rFonts w:ascii="Times New Roman" w:hAnsi="Times New Roman"/>
                <w:b/>
                <w:color w:val="auto"/>
                <w:szCs w:val="20"/>
              </w:rPr>
              <w:t>经办人：                                            年     月     日</w:t>
            </w:r>
          </w:p>
        </w:tc>
      </w:tr>
    </w:tbl>
    <w:p>
      <w:pPr>
        <w:spacing w:line="480" w:lineRule="auto"/>
        <w:jc w:val="center"/>
        <w:rPr>
          <w:rFonts w:ascii="Times New Roman" w:hAnsi="Times New Roman"/>
          <w:b/>
          <w:color w:val="auto"/>
        </w:rPr>
        <w:sectPr>
          <w:headerReference r:id="rId7" w:type="default"/>
          <w:footerReference r:id="rId8" w:type="default"/>
          <w:pgSz w:w="11906" w:h="16838"/>
          <w:pgMar w:top="1440" w:right="1287" w:bottom="1440" w:left="1797"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pPr>
        <w:spacing w:line="480" w:lineRule="auto"/>
        <w:jc w:val="center"/>
        <w:rPr>
          <w:rFonts w:ascii="Times New Roman" w:hAnsi="Times New Roman"/>
          <w:color w:val="auto"/>
        </w:rPr>
      </w:pPr>
    </w:p>
    <w:p>
      <w:pPr>
        <w:spacing w:line="480" w:lineRule="auto"/>
        <w:jc w:val="center"/>
        <w:rPr>
          <w:rFonts w:ascii="Times New Roman" w:hAnsi="Times New Roman"/>
          <w:color w:val="auto"/>
        </w:rPr>
      </w:pPr>
    </w:p>
    <w:p>
      <w:pPr>
        <w:spacing w:line="480" w:lineRule="auto"/>
        <w:jc w:val="center"/>
        <w:rPr>
          <w:rFonts w:ascii="Times New Roman" w:hAnsi="Times New Roman"/>
          <w:color w:val="auto"/>
        </w:rPr>
      </w:pPr>
    </w:p>
    <w:p>
      <w:pPr>
        <w:spacing w:line="480" w:lineRule="auto"/>
        <w:jc w:val="center"/>
        <w:rPr>
          <w:rFonts w:ascii="Times New Roman" w:hAnsi="Times New Roman"/>
          <w:color w:val="auto"/>
        </w:rPr>
      </w:pPr>
    </w:p>
    <w:p>
      <w:pPr>
        <w:spacing w:line="480" w:lineRule="auto"/>
        <w:jc w:val="center"/>
        <w:rPr>
          <w:rFonts w:ascii="Times New Roman" w:hAnsi="Times New Roman"/>
          <w:color w:val="auto"/>
        </w:rPr>
      </w:pPr>
    </w:p>
    <w:p>
      <w:pPr>
        <w:spacing w:line="480" w:lineRule="auto"/>
        <w:jc w:val="center"/>
        <w:rPr>
          <w:rFonts w:ascii="Times New Roman" w:hAnsi="Times New Roman"/>
          <w:color w:val="auto"/>
        </w:rPr>
      </w:pPr>
    </w:p>
    <w:p>
      <w:pPr>
        <w:spacing w:line="480" w:lineRule="auto"/>
        <w:jc w:val="center"/>
        <w:rPr>
          <w:rFonts w:ascii="Times New Roman" w:hAnsi="Times New Roman"/>
          <w:b/>
          <w:color w:val="auto"/>
          <w:sz w:val="32"/>
          <w:szCs w:val="32"/>
        </w:rPr>
      </w:pPr>
    </w:p>
    <w:p>
      <w:pPr>
        <w:spacing w:line="480" w:lineRule="auto"/>
        <w:jc w:val="center"/>
        <w:rPr>
          <w:rFonts w:ascii="Times New Roman" w:hAnsi="Times New Roman"/>
          <w:b/>
          <w:color w:val="auto"/>
          <w:sz w:val="32"/>
          <w:szCs w:val="32"/>
        </w:rPr>
      </w:pPr>
      <w:r>
        <w:rPr>
          <w:rFonts w:hint="eastAsia" w:ascii="Times New Roman" w:hAnsi="Times New Roman"/>
          <w:b/>
          <w:color w:val="auto"/>
          <w:sz w:val="32"/>
          <w:szCs w:val="32"/>
        </w:rPr>
        <w:t>文昌气电π接220kV玉洲至江东线路新建工程</w:t>
      </w:r>
    </w:p>
    <w:p>
      <w:pPr>
        <w:pStyle w:val="42"/>
        <w:jc w:val="center"/>
        <w:rPr>
          <w:rFonts w:ascii="Times New Roman" w:hAnsi="Times New Roman"/>
          <w:b w:val="0"/>
          <w:color w:val="auto"/>
          <w:sz w:val="32"/>
        </w:rPr>
      </w:pPr>
      <w:bookmarkStart w:id="55" w:name="_Toc445368128"/>
      <w:bookmarkStart w:id="56" w:name="_Toc420928344"/>
      <w:bookmarkStart w:id="57" w:name="_Toc522457757"/>
      <w:r>
        <w:rPr>
          <w:rFonts w:ascii="Times New Roman" w:hAnsi="Times New Roman"/>
          <w:color w:val="auto"/>
          <w:sz w:val="32"/>
        </w:rPr>
        <w:t>电磁环境影响专题评价</w:t>
      </w:r>
      <w:bookmarkEnd w:id="55"/>
      <w:bookmarkEnd w:id="56"/>
      <w:bookmarkEnd w:id="57"/>
    </w:p>
    <w:p>
      <w:pPr>
        <w:spacing w:line="480" w:lineRule="auto"/>
        <w:jc w:val="center"/>
        <w:rPr>
          <w:rFonts w:ascii="Times New Roman" w:hAnsi="Times New Roman"/>
          <w:b/>
          <w:color w:val="auto"/>
          <w:sz w:val="32"/>
          <w:szCs w:val="32"/>
        </w:rPr>
      </w:pPr>
    </w:p>
    <w:p>
      <w:pPr>
        <w:spacing w:line="480" w:lineRule="auto"/>
        <w:jc w:val="center"/>
        <w:rPr>
          <w:rFonts w:ascii="Times New Roman" w:hAnsi="Times New Roman"/>
          <w:b/>
          <w:color w:val="auto"/>
          <w:sz w:val="32"/>
          <w:szCs w:val="32"/>
        </w:rPr>
      </w:pPr>
    </w:p>
    <w:p>
      <w:pPr>
        <w:spacing w:line="480" w:lineRule="auto"/>
        <w:jc w:val="center"/>
        <w:rPr>
          <w:rFonts w:ascii="Times New Roman" w:hAnsi="Times New Roman"/>
          <w:b/>
          <w:color w:val="auto"/>
          <w:sz w:val="32"/>
          <w:szCs w:val="32"/>
        </w:rPr>
      </w:pPr>
    </w:p>
    <w:p>
      <w:pPr>
        <w:spacing w:line="480" w:lineRule="auto"/>
        <w:jc w:val="center"/>
        <w:rPr>
          <w:rFonts w:ascii="Times New Roman" w:hAnsi="Times New Roman"/>
          <w:b/>
          <w:color w:val="auto"/>
          <w:sz w:val="32"/>
          <w:szCs w:val="32"/>
        </w:rPr>
      </w:pPr>
    </w:p>
    <w:p>
      <w:pPr>
        <w:spacing w:line="480" w:lineRule="auto"/>
        <w:jc w:val="center"/>
        <w:rPr>
          <w:rFonts w:ascii="Times New Roman" w:hAnsi="Times New Roman"/>
          <w:b/>
          <w:color w:val="auto"/>
          <w:sz w:val="32"/>
          <w:szCs w:val="32"/>
        </w:rPr>
      </w:pPr>
    </w:p>
    <w:p>
      <w:pPr>
        <w:spacing w:line="480" w:lineRule="auto"/>
        <w:jc w:val="center"/>
        <w:rPr>
          <w:rFonts w:ascii="Times New Roman" w:hAnsi="Times New Roman"/>
          <w:b/>
          <w:color w:val="auto"/>
          <w:sz w:val="32"/>
          <w:szCs w:val="32"/>
        </w:rPr>
      </w:pPr>
    </w:p>
    <w:p>
      <w:pPr>
        <w:spacing w:line="480" w:lineRule="auto"/>
        <w:jc w:val="center"/>
        <w:rPr>
          <w:rFonts w:ascii="Times New Roman" w:hAnsi="Times New Roman"/>
          <w:b/>
          <w:color w:val="auto"/>
          <w:sz w:val="32"/>
          <w:szCs w:val="32"/>
        </w:rPr>
      </w:pPr>
    </w:p>
    <w:p>
      <w:pPr>
        <w:spacing w:line="480" w:lineRule="auto"/>
        <w:jc w:val="center"/>
        <w:rPr>
          <w:rFonts w:ascii="Times New Roman" w:hAnsi="Times New Roman"/>
          <w:b/>
          <w:color w:val="auto"/>
          <w:sz w:val="32"/>
          <w:szCs w:val="32"/>
        </w:rPr>
      </w:pPr>
    </w:p>
    <w:p>
      <w:pPr>
        <w:spacing w:line="360" w:lineRule="auto"/>
        <w:outlineLvl w:val="1"/>
        <w:rPr>
          <w:rFonts w:ascii="Times New Roman" w:hAnsi="Times New Roman"/>
          <w:b/>
          <w:color w:val="auto"/>
          <w:sz w:val="32"/>
          <w:szCs w:val="32"/>
        </w:rPr>
        <w:sectPr>
          <w:headerReference r:id="rId9" w:type="default"/>
          <w:footerReference r:id="rId10" w:type="default"/>
          <w:pgSz w:w="11906" w:h="16838"/>
          <w:pgMar w:top="1440" w:right="1287" w:bottom="1440" w:left="1797"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pPr>
        <w:spacing w:line="360" w:lineRule="auto"/>
        <w:outlineLvl w:val="1"/>
        <w:rPr>
          <w:rFonts w:ascii="Times New Roman" w:hAnsi="Times New Roman"/>
          <w:b/>
          <w:color w:val="auto"/>
          <w:sz w:val="24"/>
          <w:szCs w:val="24"/>
        </w:rPr>
      </w:pPr>
      <w:r>
        <w:rPr>
          <w:rFonts w:ascii="Times New Roman" w:hAnsi="Times New Roman"/>
          <w:b/>
          <w:color w:val="auto"/>
          <w:sz w:val="24"/>
          <w:szCs w:val="24"/>
        </w:rPr>
        <w:t>1总则</w:t>
      </w:r>
    </w:p>
    <w:p>
      <w:pPr>
        <w:spacing w:line="360" w:lineRule="auto"/>
        <w:rPr>
          <w:rFonts w:ascii="Times New Roman" w:hAnsi="Times New Roman"/>
          <w:b/>
          <w:color w:val="auto"/>
        </w:rPr>
      </w:pPr>
      <w:r>
        <w:rPr>
          <w:rFonts w:ascii="Times New Roman" w:hAnsi="Times New Roman"/>
          <w:b/>
          <w:color w:val="auto"/>
        </w:rPr>
        <w:t>1.1编制依据</w:t>
      </w:r>
    </w:p>
    <w:p>
      <w:pPr>
        <w:spacing w:line="360" w:lineRule="auto"/>
        <w:rPr>
          <w:rFonts w:ascii="Times New Roman" w:hAnsi="Times New Roman"/>
          <w:b/>
          <w:color w:val="auto"/>
        </w:rPr>
      </w:pPr>
      <w:r>
        <w:rPr>
          <w:rFonts w:ascii="Times New Roman" w:hAnsi="Times New Roman"/>
          <w:b/>
          <w:color w:val="auto"/>
        </w:rPr>
        <w:t>1.1.1国家法律及法规</w:t>
      </w:r>
    </w:p>
    <w:p>
      <w:pPr>
        <w:spacing w:line="360" w:lineRule="auto"/>
        <w:ind w:firstLine="420"/>
        <w:rPr>
          <w:rFonts w:ascii="Times New Roman" w:hAnsi="Times New Roman"/>
          <w:color w:val="auto"/>
        </w:rPr>
      </w:pPr>
      <w:r>
        <w:rPr>
          <w:rFonts w:ascii="Times New Roman" w:hAnsi="Times New Roman"/>
          <w:color w:val="auto"/>
        </w:rPr>
        <w:t>（1）《中华人民共和国环境保护法》（修订本）2015年1月1日起施行。</w:t>
      </w:r>
    </w:p>
    <w:p>
      <w:pPr>
        <w:spacing w:line="360" w:lineRule="auto"/>
        <w:ind w:firstLine="420"/>
        <w:rPr>
          <w:rFonts w:ascii="Times New Roman" w:hAnsi="Times New Roman"/>
          <w:color w:val="auto"/>
        </w:rPr>
      </w:pPr>
      <w:r>
        <w:rPr>
          <w:rFonts w:ascii="Times New Roman" w:hAnsi="Times New Roman"/>
          <w:color w:val="auto"/>
        </w:rPr>
        <w:t>（2）《中华人民共和国环境影响评价法》</w:t>
      </w:r>
      <w:r>
        <w:rPr>
          <w:rFonts w:hint="eastAsia" w:ascii="Times New Roman"/>
          <w:color w:val="auto"/>
          <w:lang w:val="en-US" w:eastAsia="zh-CN"/>
        </w:rPr>
        <w:t>2018</w:t>
      </w:r>
      <w:r>
        <w:rPr>
          <w:rFonts w:ascii="Times New Roman" w:hAnsi="Times New Roman"/>
          <w:color w:val="auto"/>
        </w:rPr>
        <w:t>年</w:t>
      </w:r>
      <w:r>
        <w:rPr>
          <w:rFonts w:hint="eastAsia" w:ascii="Times New Roman" w:hAnsi="Times New Roman"/>
          <w:color w:val="auto"/>
          <w:lang w:val="en-US" w:eastAsia="zh-CN"/>
        </w:rPr>
        <w:t>12</w:t>
      </w:r>
      <w:r>
        <w:rPr>
          <w:rFonts w:ascii="Times New Roman" w:hAnsi="Times New Roman"/>
          <w:color w:val="auto"/>
        </w:rPr>
        <w:t>月</w:t>
      </w:r>
      <w:r>
        <w:rPr>
          <w:rFonts w:hint="eastAsia" w:ascii="Times New Roman" w:hAnsi="Times New Roman"/>
          <w:color w:val="auto"/>
          <w:lang w:val="en-US" w:eastAsia="zh-CN"/>
        </w:rPr>
        <w:t>29</w:t>
      </w:r>
      <w:r>
        <w:rPr>
          <w:rFonts w:ascii="Times New Roman" w:hAnsi="Times New Roman"/>
          <w:color w:val="auto"/>
        </w:rPr>
        <w:t>日</w:t>
      </w:r>
      <w:r>
        <w:rPr>
          <w:rFonts w:hint="eastAsia" w:ascii="Times New Roman" w:hAnsi="Times New Roman"/>
          <w:color w:val="auto"/>
          <w:lang w:eastAsia="zh-CN"/>
        </w:rPr>
        <w:t>修订并</w:t>
      </w:r>
      <w:r>
        <w:rPr>
          <w:rFonts w:ascii="Times New Roman" w:hAnsi="Times New Roman"/>
          <w:color w:val="auto"/>
        </w:rPr>
        <w:t>施行。</w:t>
      </w:r>
    </w:p>
    <w:p>
      <w:pPr>
        <w:spacing w:line="360" w:lineRule="auto"/>
        <w:rPr>
          <w:rFonts w:ascii="Times New Roman" w:hAnsi="Times New Roman"/>
          <w:b/>
          <w:color w:val="auto"/>
        </w:rPr>
      </w:pPr>
      <w:r>
        <w:rPr>
          <w:rFonts w:ascii="Times New Roman" w:hAnsi="Times New Roman"/>
          <w:b/>
          <w:color w:val="auto"/>
        </w:rPr>
        <w:t>1.1.2部委规章</w:t>
      </w:r>
    </w:p>
    <w:p>
      <w:pPr>
        <w:spacing w:line="360" w:lineRule="auto"/>
        <w:ind w:firstLine="420"/>
        <w:rPr>
          <w:rFonts w:ascii="Times New Roman" w:hAnsi="Times New Roman"/>
          <w:color w:val="auto"/>
        </w:rPr>
      </w:pPr>
      <w:r>
        <w:rPr>
          <w:rFonts w:ascii="Times New Roman" w:hAnsi="Times New Roman"/>
          <w:color w:val="auto"/>
        </w:rPr>
        <w:t>（1）《产业结构调整指导目录（201</w:t>
      </w:r>
      <w:r>
        <w:rPr>
          <w:rFonts w:hint="eastAsia" w:ascii="Times New Roman" w:hAnsi="Times New Roman"/>
          <w:color w:val="auto"/>
          <w:lang w:val="en-US" w:eastAsia="zh-CN"/>
        </w:rPr>
        <w:t>9</w:t>
      </w:r>
      <w:r>
        <w:rPr>
          <w:rFonts w:ascii="Times New Roman" w:hAnsi="Times New Roman"/>
          <w:color w:val="auto"/>
        </w:rPr>
        <w:t>年本）》</w:t>
      </w:r>
      <w:r>
        <w:rPr>
          <w:rFonts w:hint="eastAsia" w:ascii="Times New Roman" w:hAnsi="Times New Roman"/>
          <w:color w:val="auto"/>
        </w:rPr>
        <w:t>中华人民共和国国家发展和改革委员会令</w:t>
      </w:r>
      <w:r>
        <w:rPr>
          <w:rFonts w:ascii="Times New Roman" w:hAnsi="Times New Roman"/>
          <w:color w:val="auto"/>
        </w:rPr>
        <w:t>第</w:t>
      </w:r>
      <w:r>
        <w:rPr>
          <w:rFonts w:hint="eastAsia" w:ascii="Times New Roman" w:hAnsi="Times New Roman"/>
          <w:color w:val="auto"/>
          <w:lang w:val="en-US" w:eastAsia="zh-CN"/>
        </w:rPr>
        <w:t>29</w:t>
      </w:r>
      <w:r>
        <w:rPr>
          <w:rFonts w:ascii="Times New Roman" w:hAnsi="Times New Roman"/>
          <w:color w:val="auto"/>
        </w:rPr>
        <w:t>号令，20</w:t>
      </w:r>
      <w:r>
        <w:rPr>
          <w:rFonts w:hint="eastAsia" w:ascii="Times New Roman" w:hAnsi="Times New Roman"/>
          <w:color w:val="auto"/>
          <w:lang w:val="en-US" w:eastAsia="zh-CN"/>
        </w:rPr>
        <w:t>20</w:t>
      </w:r>
      <w:r>
        <w:rPr>
          <w:rFonts w:ascii="Times New Roman" w:hAnsi="Times New Roman"/>
          <w:color w:val="auto"/>
        </w:rPr>
        <w:t>年</w:t>
      </w:r>
      <w:r>
        <w:rPr>
          <w:rFonts w:hint="eastAsia" w:ascii="Times New Roman" w:hAnsi="Times New Roman"/>
          <w:color w:val="auto"/>
          <w:lang w:val="en-US" w:eastAsia="zh-CN"/>
        </w:rPr>
        <w:t>1</w:t>
      </w:r>
      <w:r>
        <w:rPr>
          <w:rFonts w:ascii="Times New Roman" w:hAnsi="Times New Roman"/>
          <w:color w:val="auto"/>
        </w:rPr>
        <w:t>月</w:t>
      </w:r>
      <w:r>
        <w:rPr>
          <w:rFonts w:hint="eastAsia" w:ascii="Times New Roman" w:hAnsi="Times New Roman"/>
          <w:color w:val="auto"/>
          <w:lang w:val="en-US" w:eastAsia="zh-CN"/>
        </w:rPr>
        <w:t>1</w:t>
      </w:r>
      <w:r>
        <w:rPr>
          <w:rFonts w:ascii="Times New Roman" w:hAnsi="Times New Roman"/>
          <w:color w:val="auto"/>
        </w:rPr>
        <w:t>日起施行。</w:t>
      </w:r>
    </w:p>
    <w:p>
      <w:pPr>
        <w:spacing w:line="360" w:lineRule="auto"/>
        <w:ind w:firstLine="420"/>
        <w:rPr>
          <w:rFonts w:ascii="Times New Roman" w:hAnsi="Times New Roman"/>
          <w:color w:val="auto"/>
        </w:rPr>
      </w:pPr>
      <w:r>
        <w:rPr>
          <w:rFonts w:ascii="Times New Roman" w:hAnsi="Times New Roman"/>
          <w:color w:val="auto"/>
        </w:rPr>
        <w:t>（2）《建设项目环境影响评价分类管理名录》</w:t>
      </w:r>
      <w:r>
        <w:rPr>
          <w:rFonts w:ascii="Times New Roman"/>
          <w:color w:val="auto"/>
        </w:rPr>
        <w:t>中华人民共和国</w:t>
      </w:r>
      <w:r>
        <w:rPr>
          <w:rFonts w:hint="eastAsia" w:ascii="Times New Roman"/>
          <w:color w:val="auto"/>
        </w:rPr>
        <w:t>生态</w:t>
      </w:r>
      <w:r>
        <w:rPr>
          <w:rFonts w:ascii="Times New Roman"/>
          <w:color w:val="auto"/>
        </w:rPr>
        <w:t>环境部令第</w:t>
      </w:r>
      <w:r>
        <w:rPr>
          <w:rFonts w:hint="eastAsia" w:ascii="Times New Roman"/>
          <w:color w:val="auto"/>
        </w:rPr>
        <w:t>1号</w:t>
      </w:r>
      <w:r>
        <w:rPr>
          <w:rFonts w:ascii="Times New Roman" w:hAnsi="Times New Roman"/>
          <w:color w:val="auto"/>
        </w:rPr>
        <w:t>（</w:t>
      </w:r>
      <w:r>
        <w:rPr>
          <w:rFonts w:hint="eastAsia" w:ascii="Times New Roman"/>
          <w:color w:val="auto"/>
        </w:rPr>
        <w:t>2018年</w:t>
      </w:r>
      <w:r>
        <w:rPr>
          <w:rFonts w:ascii="Times New Roman"/>
          <w:color w:val="auto"/>
        </w:rPr>
        <w:t>修正</w:t>
      </w:r>
      <w:r>
        <w:rPr>
          <w:rFonts w:ascii="Times New Roman" w:hAnsi="Times New Roman"/>
          <w:color w:val="auto"/>
        </w:rPr>
        <w:t>）</w:t>
      </w:r>
      <w:r>
        <w:rPr>
          <w:rFonts w:ascii="Times New Roman"/>
          <w:color w:val="auto"/>
        </w:rPr>
        <w:t>，</w:t>
      </w:r>
      <w:r>
        <w:rPr>
          <w:rFonts w:ascii="Times New Roman" w:hAnsi="Times New Roman"/>
          <w:color w:val="auto"/>
        </w:rPr>
        <w:t>201</w:t>
      </w:r>
      <w:r>
        <w:rPr>
          <w:rFonts w:hint="eastAsia" w:ascii="Times New Roman" w:hAnsi="Times New Roman"/>
          <w:color w:val="auto"/>
        </w:rPr>
        <w:t>8</w:t>
      </w:r>
      <w:r>
        <w:rPr>
          <w:rFonts w:ascii="Times New Roman" w:hAnsi="Times New Roman"/>
          <w:color w:val="auto"/>
        </w:rPr>
        <w:t>年</w:t>
      </w:r>
      <w:r>
        <w:rPr>
          <w:rFonts w:hint="eastAsia" w:ascii="Times New Roman" w:hAnsi="Times New Roman"/>
          <w:color w:val="auto"/>
        </w:rPr>
        <w:t>4</w:t>
      </w:r>
      <w:r>
        <w:rPr>
          <w:rFonts w:ascii="Times New Roman" w:hAnsi="Times New Roman"/>
          <w:color w:val="auto"/>
        </w:rPr>
        <w:t>月</w:t>
      </w:r>
      <w:r>
        <w:rPr>
          <w:rFonts w:hint="eastAsia" w:ascii="Times New Roman" w:hAnsi="Times New Roman"/>
          <w:color w:val="auto"/>
        </w:rPr>
        <w:t>28</w:t>
      </w:r>
      <w:r>
        <w:rPr>
          <w:rFonts w:ascii="Times New Roman" w:hAnsi="Times New Roman"/>
          <w:color w:val="auto"/>
        </w:rPr>
        <w:t>日起施行。</w:t>
      </w:r>
    </w:p>
    <w:p>
      <w:pPr>
        <w:spacing w:line="360" w:lineRule="auto"/>
        <w:ind w:firstLine="420"/>
        <w:rPr>
          <w:rFonts w:hint="eastAsia" w:ascii="Times New Roman" w:hAnsi="Times New Roman"/>
          <w:color w:val="auto"/>
        </w:rPr>
      </w:pPr>
      <w:r>
        <w:rPr>
          <w:rFonts w:ascii="Times New Roman" w:hAnsi="Times New Roman"/>
          <w:color w:val="auto"/>
        </w:rPr>
        <w:t>（3）《建设项目环境保护管理条例》国务院第</w:t>
      </w:r>
      <w:r>
        <w:rPr>
          <w:rFonts w:hint="eastAsia" w:ascii="Times New Roman" w:hAnsi="Times New Roman"/>
          <w:color w:val="auto"/>
        </w:rPr>
        <w:t>682</w:t>
      </w:r>
      <w:r>
        <w:rPr>
          <w:rFonts w:ascii="Times New Roman" w:hAnsi="Times New Roman"/>
          <w:color w:val="auto"/>
        </w:rPr>
        <w:t>号令，</w:t>
      </w:r>
      <w:r>
        <w:rPr>
          <w:rFonts w:hint="eastAsia" w:ascii="Times New Roman" w:hAnsi="Times New Roman"/>
          <w:color w:val="auto"/>
        </w:rPr>
        <w:t>2017</w:t>
      </w:r>
      <w:r>
        <w:rPr>
          <w:rFonts w:ascii="Times New Roman" w:hAnsi="Times New Roman"/>
          <w:color w:val="auto"/>
        </w:rPr>
        <w:t>年1</w:t>
      </w:r>
      <w:r>
        <w:rPr>
          <w:rFonts w:hint="eastAsia" w:ascii="Times New Roman" w:hAnsi="Times New Roman"/>
          <w:color w:val="auto"/>
        </w:rPr>
        <w:t>0</w:t>
      </w:r>
      <w:r>
        <w:rPr>
          <w:rFonts w:ascii="Times New Roman" w:hAnsi="Times New Roman"/>
          <w:color w:val="auto"/>
        </w:rPr>
        <w:t>月</w:t>
      </w:r>
      <w:r>
        <w:rPr>
          <w:rFonts w:hint="eastAsia" w:ascii="Times New Roman" w:hAnsi="Times New Roman"/>
          <w:color w:val="auto"/>
        </w:rPr>
        <w:t>1</w:t>
      </w:r>
      <w:r>
        <w:rPr>
          <w:rFonts w:ascii="Times New Roman" w:hAnsi="Times New Roman"/>
          <w:color w:val="auto"/>
        </w:rPr>
        <w:t>日起施行。</w:t>
      </w:r>
    </w:p>
    <w:p>
      <w:pPr>
        <w:spacing w:line="360" w:lineRule="auto"/>
        <w:ind w:firstLine="420"/>
        <w:rPr>
          <w:rFonts w:ascii="Times New Roman" w:hAnsi="Times New Roman"/>
          <w:b/>
          <w:color w:val="auto"/>
        </w:rPr>
      </w:pPr>
      <w:r>
        <w:rPr>
          <w:rFonts w:ascii="Times New Roman" w:hAnsi="Times New Roman"/>
          <w:color w:val="auto"/>
        </w:rPr>
        <w:t>（4）环境保护部（环办[2012]131号）《关于进一步加强输变电类建设项目环境保护监管工作的通知》（2012年10月29日）。</w:t>
      </w:r>
    </w:p>
    <w:p>
      <w:pPr>
        <w:spacing w:line="360" w:lineRule="auto"/>
        <w:rPr>
          <w:rFonts w:ascii="Times New Roman" w:hAnsi="Times New Roman"/>
          <w:b/>
          <w:color w:val="auto"/>
        </w:rPr>
      </w:pPr>
      <w:r>
        <w:rPr>
          <w:rFonts w:ascii="Times New Roman" w:hAnsi="Times New Roman"/>
          <w:b/>
          <w:color w:val="auto"/>
        </w:rPr>
        <w:t>1.1.</w:t>
      </w:r>
      <w:r>
        <w:rPr>
          <w:rFonts w:hint="eastAsia" w:ascii="Times New Roman" w:hAnsi="Times New Roman"/>
          <w:b/>
          <w:color w:val="auto"/>
        </w:rPr>
        <w:t>3</w:t>
      </w:r>
      <w:r>
        <w:rPr>
          <w:rFonts w:ascii="Times New Roman" w:hAnsi="Times New Roman"/>
          <w:b/>
          <w:color w:val="auto"/>
        </w:rPr>
        <w:t>采用的标准、技术规范及规定</w:t>
      </w:r>
    </w:p>
    <w:p>
      <w:pPr>
        <w:spacing w:line="360" w:lineRule="auto"/>
        <w:rPr>
          <w:rFonts w:ascii="Times New Roman" w:hAnsi="Times New Roman"/>
          <w:color w:val="auto"/>
        </w:rPr>
      </w:pPr>
      <w:r>
        <w:rPr>
          <w:rFonts w:ascii="Times New Roman" w:hAnsi="Times New Roman"/>
          <w:color w:val="auto"/>
        </w:rPr>
        <w:t>（1）《建设项目环境影响评价技术导则 总纲》（HJ2.1-2016）。</w:t>
      </w:r>
    </w:p>
    <w:p>
      <w:pPr>
        <w:spacing w:line="360" w:lineRule="auto"/>
        <w:rPr>
          <w:rFonts w:ascii="Times New Roman" w:hAnsi="Times New Roman"/>
          <w:color w:val="auto"/>
        </w:rPr>
      </w:pPr>
      <w:r>
        <w:rPr>
          <w:rFonts w:ascii="Times New Roman" w:hAnsi="Times New Roman"/>
          <w:color w:val="auto"/>
        </w:rPr>
        <w:t>（2）《环境影响评价技术导则 输变电工程》（HJ24-2014）。</w:t>
      </w:r>
    </w:p>
    <w:p>
      <w:pPr>
        <w:spacing w:line="360" w:lineRule="auto"/>
        <w:rPr>
          <w:rFonts w:ascii="Times New Roman" w:hAnsi="Times New Roman"/>
          <w:color w:val="auto"/>
        </w:rPr>
      </w:pPr>
      <w:r>
        <w:rPr>
          <w:rFonts w:ascii="Times New Roman" w:hAnsi="Times New Roman"/>
          <w:color w:val="auto"/>
        </w:rPr>
        <w:t>（3）《交流输变电工程电磁环境监测方法（试行）》（HJ681-2013）。</w:t>
      </w:r>
    </w:p>
    <w:p>
      <w:pPr>
        <w:spacing w:line="360" w:lineRule="auto"/>
        <w:rPr>
          <w:rFonts w:ascii="Times New Roman" w:hAnsi="Times New Roman"/>
          <w:color w:val="auto"/>
        </w:rPr>
      </w:pPr>
      <w:r>
        <w:rPr>
          <w:rFonts w:ascii="Times New Roman" w:hAnsi="Times New Roman"/>
          <w:color w:val="auto"/>
        </w:rPr>
        <w:t>（4）《电磁环境控制限制》（GB 8702-2014）。</w:t>
      </w:r>
    </w:p>
    <w:p>
      <w:pPr>
        <w:spacing w:line="360" w:lineRule="auto"/>
        <w:rPr>
          <w:rFonts w:ascii="Times New Roman" w:hAnsi="Times New Roman"/>
          <w:b/>
          <w:color w:val="auto"/>
        </w:rPr>
      </w:pPr>
      <w:r>
        <w:rPr>
          <w:rFonts w:ascii="Times New Roman" w:hAnsi="Times New Roman"/>
          <w:b/>
          <w:color w:val="auto"/>
        </w:rPr>
        <w:t>1.1.</w:t>
      </w:r>
      <w:r>
        <w:rPr>
          <w:rFonts w:hint="eastAsia" w:ascii="Times New Roman" w:hAnsi="Times New Roman"/>
          <w:b/>
          <w:color w:val="auto"/>
        </w:rPr>
        <w:t>4</w:t>
      </w:r>
      <w:r>
        <w:rPr>
          <w:rFonts w:ascii="Times New Roman" w:hAnsi="Times New Roman"/>
          <w:b/>
          <w:color w:val="auto"/>
        </w:rPr>
        <w:t>工程设计资料名称和编制单位</w:t>
      </w:r>
    </w:p>
    <w:p>
      <w:pPr>
        <w:spacing w:line="360" w:lineRule="auto"/>
        <w:ind w:firstLine="420" w:firstLineChars="200"/>
        <w:rPr>
          <w:rFonts w:ascii="Times New Roman" w:hAnsi="Times New Roman"/>
          <w:b/>
          <w:color w:val="auto"/>
        </w:rPr>
      </w:pPr>
      <w:r>
        <w:rPr>
          <w:rFonts w:ascii="Times New Roman" w:hAnsi="Times New Roman"/>
          <w:color w:val="auto"/>
        </w:rPr>
        <w:t>《</w:t>
      </w:r>
      <w:r>
        <w:rPr>
          <w:rFonts w:hint="eastAsia" w:ascii="Times New Roman" w:hAnsi="Times New Roman"/>
          <w:color w:val="auto"/>
          <w:szCs w:val="24"/>
        </w:rPr>
        <w:t>文昌气电π接220kV玉洲至江东线路新建工程</w:t>
      </w:r>
      <w:r>
        <w:rPr>
          <w:rFonts w:ascii="Times New Roman" w:hAnsi="Times New Roman"/>
          <w:color w:val="auto"/>
        </w:rPr>
        <w:t>可行性研究报告》，</w:t>
      </w:r>
      <w:r>
        <w:rPr>
          <w:rFonts w:hint="eastAsia" w:ascii="Times New Roman" w:hAnsi="Times New Roman"/>
          <w:color w:val="auto"/>
        </w:rPr>
        <w:t>中国能源建设集团广东省电力设计研究院有限公司</w:t>
      </w:r>
      <w:r>
        <w:rPr>
          <w:rFonts w:ascii="Times New Roman" w:hAnsi="Times New Roman"/>
          <w:color w:val="auto"/>
        </w:rPr>
        <w:t>，201</w:t>
      </w:r>
      <w:r>
        <w:rPr>
          <w:rFonts w:hint="eastAsia" w:ascii="Times New Roman" w:hAnsi="Times New Roman"/>
          <w:color w:val="auto"/>
          <w:lang w:val="en-US" w:eastAsia="zh-CN"/>
        </w:rPr>
        <w:t>9</w:t>
      </w:r>
      <w:r>
        <w:rPr>
          <w:rFonts w:ascii="Times New Roman" w:hAnsi="Times New Roman"/>
          <w:color w:val="auto"/>
        </w:rPr>
        <w:t>年</w:t>
      </w:r>
      <w:r>
        <w:rPr>
          <w:rFonts w:hint="eastAsia" w:ascii="Times New Roman" w:hAnsi="Times New Roman"/>
          <w:color w:val="auto"/>
          <w:lang w:val="en-US" w:eastAsia="zh-CN"/>
        </w:rPr>
        <w:t>9</w:t>
      </w:r>
      <w:r>
        <w:rPr>
          <w:rFonts w:ascii="Times New Roman" w:hAnsi="Times New Roman"/>
          <w:color w:val="auto"/>
        </w:rPr>
        <w:t>月。</w:t>
      </w:r>
    </w:p>
    <w:p>
      <w:pPr>
        <w:spacing w:line="360" w:lineRule="auto"/>
        <w:rPr>
          <w:rFonts w:ascii="Times New Roman" w:hAnsi="Times New Roman"/>
          <w:b/>
          <w:color w:val="auto"/>
        </w:rPr>
      </w:pPr>
      <w:r>
        <w:rPr>
          <w:rFonts w:ascii="Times New Roman" w:hAnsi="Times New Roman"/>
          <w:b/>
          <w:color w:val="auto"/>
        </w:rPr>
        <w:t>1.2评价因子与评价标准</w:t>
      </w:r>
    </w:p>
    <w:p>
      <w:pPr>
        <w:spacing w:line="360" w:lineRule="auto"/>
        <w:rPr>
          <w:rFonts w:ascii="Times New Roman" w:hAnsi="Times New Roman"/>
          <w:color w:val="auto"/>
        </w:rPr>
      </w:pPr>
      <w:r>
        <w:rPr>
          <w:rFonts w:ascii="Times New Roman" w:hAnsi="Times New Roman"/>
          <w:color w:val="auto"/>
        </w:rPr>
        <w:t>（1）评价因子</w:t>
      </w:r>
    </w:p>
    <w:p>
      <w:pPr>
        <w:spacing w:line="360" w:lineRule="auto"/>
        <w:rPr>
          <w:rFonts w:ascii="Times New Roman" w:hAnsi="Times New Roman"/>
          <w:color w:val="auto"/>
        </w:rPr>
      </w:pPr>
      <w:r>
        <w:rPr>
          <w:rFonts w:ascii="Times New Roman" w:hAnsi="Times New Roman"/>
          <w:color w:val="auto"/>
        </w:rPr>
        <w:t>现状评价因子：工频电场、工频磁场。</w:t>
      </w:r>
    </w:p>
    <w:p>
      <w:pPr>
        <w:spacing w:line="360" w:lineRule="auto"/>
        <w:rPr>
          <w:rFonts w:ascii="Times New Roman" w:hAnsi="Times New Roman"/>
          <w:color w:val="auto"/>
        </w:rPr>
      </w:pPr>
      <w:r>
        <w:rPr>
          <w:rFonts w:ascii="Times New Roman" w:hAnsi="Times New Roman"/>
          <w:color w:val="auto"/>
        </w:rPr>
        <w:t>预测评价因子：工频电场、工频磁场。</w:t>
      </w:r>
    </w:p>
    <w:p>
      <w:pPr>
        <w:spacing w:line="360" w:lineRule="auto"/>
        <w:rPr>
          <w:rFonts w:ascii="Times New Roman" w:hAnsi="Times New Roman"/>
          <w:color w:val="auto"/>
        </w:rPr>
      </w:pPr>
      <w:r>
        <w:rPr>
          <w:rFonts w:ascii="Times New Roman" w:hAnsi="Times New Roman"/>
          <w:color w:val="auto"/>
        </w:rPr>
        <w:t>（2）评价标准</w:t>
      </w:r>
    </w:p>
    <w:p>
      <w:pPr>
        <w:spacing w:line="360" w:lineRule="auto"/>
        <w:ind w:firstLine="420" w:firstLineChars="200"/>
        <w:rPr>
          <w:rFonts w:hint="eastAsia" w:ascii="Times New Roman" w:hAnsi="Times New Roman"/>
          <w:color w:val="auto"/>
        </w:rPr>
      </w:pPr>
      <w:r>
        <w:rPr>
          <w:rFonts w:ascii="Times New Roman" w:hAnsi="Times New Roman"/>
          <w:color w:val="auto"/>
        </w:rPr>
        <w:t>依据《电磁环境控制限值》（GB 8702-2014）表1“公众曝露控制限值”规定，工频电场强度控制限值为4000V/m（即4kV/m）；工频磁感应强度控制限值为100μT。</w:t>
      </w:r>
      <w:r>
        <w:rPr>
          <w:rFonts w:hint="eastAsia" w:ascii="Times New Roman" w:hAnsi="Times New Roman"/>
          <w:color w:val="auto"/>
        </w:rPr>
        <w:t>当输电线路经过耕地、林地、牧草地、道路等场所时线路下方</w:t>
      </w:r>
      <w:r>
        <w:rPr>
          <w:rFonts w:ascii="Times New Roman" w:hAnsi="Times New Roman"/>
          <w:color w:val="auto"/>
        </w:rPr>
        <w:t>工频电场强度控制限值为</w:t>
      </w:r>
      <w:r>
        <w:rPr>
          <w:rFonts w:hint="eastAsia" w:ascii="Times New Roman" w:hAnsi="Times New Roman"/>
          <w:color w:val="auto"/>
        </w:rPr>
        <w:t>10k</w:t>
      </w:r>
      <w:r>
        <w:rPr>
          <w:rFonts w:ascii="Times New Roman" w:hAnsi="Times New Roman"/>
          <w:color w:val="auto"/>
        </w:rPr>
        <w:t>V/m</w:t>
      </w:r>
      <w:r>
        <w:rPr>
          <w:rFonts w:hint="eastAsia" w:ascii="Times New Roman" w:hAnsi="Times New Roman"/>
          <w:color w:val="auto"/>
        </w:rPr>
        <w:t>。</w:t>
      </w:r>
    </w:p>
    <w:p>
      <w:pPr>
        <w:spacing w:line="360" w:lineRule="auto"/>
        <w:rPr>
          <w:rFonts w:ascii="Times New Roman" w:hAnsi="Times New Roman"/>
          <w:b/>
          <w:color w:val="auto"/>
        </w:rPr>
      </w:pPr>
      <w:r>
        <w:rPr>
          <w:rFonts w:ascii="Times New Roman" w:hAnsi="Times New Roman"/>
          <w:b/>
          <w:color w:val="auto"/>
        </w:rPr>
        <w:t>1.3评价工作等级</w:t>
      </w:r>
    </w:p>
    <w:p>
      <w:pPr>
        <w:spacing w:line="360" w:lineRule="auto"/>
        <w:ind w:firstLine="420" w:firstLineChars="200"/>
        <w:rPr>
          <w:rFonts w:ascii="Times New Roman" w:hAnsi="Times New Roman"/>
          <w:color w:val="auto"/>
        </w:rPr>
      </w:pPr>
      <w:r>
        <w:rPr>
          <w:rFonts w:ascii="Times New Roman" w:hAnsi="Times New Roman"/>
          <w:color w:val="auto"/>
        </w:rPr>
        <w:t>依据《环境影响评价技术导则 输变电工程》（HJ24-2014）中有关规定，本工程</w:t>
      </w:r>
      <w:r>
        <w:rPr>
          <w:rFonts w:hint="eastAsia" w:ascii="Times New Roman" w:hAnsi="Times New Roman"/>
          <w:color w:val="auto"/>
        </w:rPr>
        <w:t>22</w:t>
      </w:r>
      <w:r>
        <w:rPr>
          <w:rFonts w:ascii="Times New Roman" w:hAnsi="Times New Roman"/>
          <w:color w:val="auto"/>
        </w:rPr>
        <w:t>0kV输电线路</w:t>
      </w:r>
      <w:r>
        <w:rPr>
          <w:rFonts w:hint="eastAsia" w:ascii="Times New Roman" w:hAnsi="Times New Roman"/>
          <w:color w:val="auto"/>
        </w:rPr>
        <w:t>架空线边导线地面投影外两侧各15m范围内有电磁环境敏感目标，</w:t>
      </w:r>
      <w:r>
        <w:rPr>
          <w:rFonts w:ascii="Times New Roman" w:hAnsi="Times New Roman"/>
          <w:color w:val="auto"/>
        </w:rPr>
        <w:t>因此，输电线路电磁环境评价等级为</w:t>
      </w:r>
      <w:r>
        <w:rPr>
          <w:rFonts w:hint="eastAsia" w:ascii="Times New Roman" w:hAnsi="Times New Roman"/>
          <w:color w:val="auto"/>
        </w:rPr>
        <w:t>二</w:t>
      </w:r>
      <w:r>
        <w:rPr>
          <w:rFonts w:ascii="Times New Roman" w:hAnsi="Times New Roman"/>
          <w:color w:val="auto"/>
        </w:rPr>
        <w:t>级。</w:t>
      </w:r>
    </w:p>
    <w:p>
      <w:pPr>
        <w:spacing w:line="360" w:lineRule="auto"/>
        <w:rPr>
          <w:rFonts w:ascii="Times New Roman" w:hAnsi="Times New Roman"/>
          <w:b/>
          <w:color w:val="auto"/>
        </w:rPr>
      </w:pPr>
      <w:r>
        <w:rPr>
          <w:rFonts w:ascii="Times New Roman" w:hAnsi="Times New Roman"/>
          <w:b/>
          <w:color w:val="auto"/>
        </w:rPr>
        <w:t>1.4评价范围</w:t>
      </w:r>
    </w:p>
    <w:p>
      <w:pPr>
        <w:spacing w:line="360" w:lineRule="auto"/>
        <w:ind w:firstLine="420" w:firstLineChars="200"/>
        <w:rPr>
          <w:rFonts w:ascii="Times New Roman" w:hAnsi="Times New Roman"/>
          <w:b/>
          <w:color w:val="auto"/>
        </w:rPr>
      </w:pPr>
      <w:r>
        <w:rPr>
          <w:rFonts w:ascii="Times New Roman" w:hAnsi="Times New Roman"/>
          <w:color w:val="auto"/>
        </w:rPr>
        <w:t>依据《环境影响评价技术导则 输变电工程》（HJ24-2014），确定</w:t>
      </w:r>
      <w:r>
        <w:rPr>
          <w:rFonts w:hint="eastAsia" w:ascii="Times New Roman" w:hAnsi="Times New Roman"/>
          <w:color w:val="auto"/>
        </w:rPr>
        <w:t>输电线路</w:t>
      </w:r>
      <w:r>
        <w:rPr>
          <w:rFonts w:ascii="Times New Roman" w:hAnsi="Times New Roman"/>
          <w:color w:val="auto"/>
        </w:rPr>
        <w:t>的评价范围为</w:t>
      </w:r>
      <w:r>
        <w:rPr>
          <w:rFonts w:hint="eastAsia" w:ascii="Times New Roman" w:hAnsi="Times New Roman"/>
          <w:color w:val="auto"/>
        </w:rPr>
        <w:t>架空</w:t>
      </w:r>
      <w:r>
        <w:rPr>
          <w:rFonts w:ascii="Times New Roman" w:hAnsi="Times New Roman"/>
          <w:color w:val="auto"/>
        </w:rPr>
        <w:t>线路</w:t>
      </w:r>
      <w:r>
        <w:rPr>
          <w:rFonts w:hint="eastAsia" w:ascii="Times New Roman" w:hAnsi="Times New Roman"/>
          <w:color w:val="auto"/>
        </w:rPr>
        <w:t>边导线地面投影外两侧各40</w:t>
      </w:r>
      <w:r>
        <w:rPr>
          <w:rFonts w:ascii="Times New Roman" w:hAnsi="Times New Roman"/>
          <w:color w:val="auto"/>
        </w:rPr>
        <w:t>m内的范围带状区域。</w:t>
      </w:r>
    </w:p>
    <w:p>
      <w:pPr>
        <w:spacing w:line="360" w:lineRule="auto"/>
        <w:outlineLvl w:val="1"/>
        <w:rPr>
          <w:rFonts w:ascii="Times New Roman" w:hAnsi="Times New Roman"/>
          <w:b/>
          <w:color w:val="auto"/>
          <w:sz w:val="24"/>
          <w:szCs w:val="24"/>
        </w:rPr>
      </w:pPr>
      <w:r>
        <w:rPr>
          <w:rFonts w:ascii="Times New Roman" w:hAnsi="Times New Roman"/>
          <w:b/>
          <w:color w:val="auto"/>
          <w:sz w:val="24"/>
          <w:szCs w:val="24"/>
        </w:rPr>
        <w:t>2工程概况</w:t>
      </w:r>
    </w:p>
    <w:p>
      <w:pPr>
        <w:spacing w:line="360" w:lineRule="auto"/>
        <w:ind w:firstLine="420" w:firstLineChars="200"/>
        <w:rPr>
          <w:rFonts w:hint="eastAsia" w:ascii="Times New Roman" w:hAnsi="Times New Roman"/>
          <w:color w:val="auto"/>
        </w:rPr>
      </w:pPr>
      <w:r>
        <w:rPr>
          <w:rFonts w:hint="eastAsia" w:ascii="Times New Roman" w:hAnsi="Times New Roman"/>
          <w:color w:val="auto"/>
          <w:szCs w:val="24"/>
        </w:rPr>
        <w:t>文昌气电π接220kV玉洲至江东线路新建工程</w:t>
      </w:r>
      <w:r>
        <w:rPr>
          <w:rFonts w:hint="eastAsia" w:ascii="Times New Roman" w:hAnsi="Times New Roman"/>
          <w:color w:val="auto"/>
        </w:rPr>
        <w:t>建设规模如下：</w:t>
      </w:r>
    </w:p>
    <w:p>
      <w:pPr>
        <w:spacing w:line="360" w:lineRule="auto"/>
        <w:ind w:firstLine="630" w:firstLineChars="300"/>
        <w:outlineLvl w:val="1"/>
        <w:rPr>
          <w:rFonts w:ascii="Times New Roman" w:hAnsi="Times New Roman"/>
          <w:color w:val="auto"/>
        </w:rPr>
      </w:pPr>
      <w:r>
        <w:rPr>
          <w:rFonts w:hint="eastAsia" w:ascii="Times New Roman" w:hAnsi="Times New Roman"/>
          <w:color w:val="auto"/>
          <w:lang w:eastAsia="zh-CN"/>
        </w:rPr>
        <w:t>本工程线路自</w:t>
      </w:r>
      <w:r>
        <w:rPr>
          <w:rFonts w:hint="eastAsia" w:ascii="Times New Roman" w:hAnsi="Times New Roman"/>
          <w:color w:val="auto"/>
        </w:rPr>
        <w:t>文昌气电厂外电缆终端塔</w:t>
      </w:r>
      <w:r>
        <w:rPr>
          <w:rFonts w:hint="eastAsia" w:ascii="Times New Roman" w:hAnsi="Times New Roman"/>
          <w:color w:val="auto"/>
          <w:lang w:eastAsia="zh-CN"/>
        </w:rPr>
        <w:t>起</w:t>
      </w:r>
      <w:r>
        <w:rPr>
          <w:rFonts w:hint="eastAsia" w:ascii="Times New Roman" w:hAnsi="Times New Roman"/>
          <w:color w:val="auto"/>
        </w:rPr>
        <w:t>新建同塔双回220kV线路至玉洲站旁的π接点，长度约2×55km，</w:t>
      </w:r>
      <w:r>
        <w:rPr>
          <w:rFonts w:ascii="Times New Roman" w:hAnsi="Times New Roman"/>
          <w:color w:val="auto"/>
        </w:rPr>
        <w:t>导线采用2×JL/LB1A-</w:t>
      </w:r>
      <w:r>
        <w:rPr>
          <w:rFonts w:hint="eastAsia" w:ascii="Times New Roman" w:hAnsi="Times New Roman"/>
          <w:color w:val="auto"/>
          <w:lang w:val="en-US" w:eastAsia="zh-CN"/>
        </w:rPr>
        <w:t>40</w:t>
      </w:r>
      <w:r>
        <w:rPr>
          <w:rFonts w:hint="eastAsia" w:ascii="Times New Roman" w:hAnsi="Times New Roman"/>
          <w:color w:val="auto"/>
        </w:rPr>
        <w:t>0</w:t>
      </w:r>
      <w:r>
        <w:rPr>
          <w:rFonts w:ascii="Times New Roman" w:hAnsi="Times New Roman"/>
          <w:color w:val="auto"/>
        </w:rPr>
        <w:t>/</w:t>
      </w:r>
      <w:r>
        <w:rPr>
          <w:rFonts w:hint="eastAsia" w:ascii="Times New Roman" w:hAnsi="Times New Roman"/>
          <w:color w:val="auto"/>
          <w:lang w:val="en-US" w:eastAsia="zh-CN"/>
        </w:rPr>
        <w:t>3</w:t>
      </w:r>
      <w:r>
        <w:rPr>
          <w:rFonts w:ascii="Times New Roman" w:hAnsi="Times New Roman"/>
          <w:color w:val="auto"/>
        </w:rPr>
        <w:t>5铝包钢芯铝绞线，新建铁塔1</w:t>
      </w:r>
      <w:r>
        <w:rPr>
          <w:rFonts w:hint="eastAsia" w:ascii="Times New Roman" w:hAnsi="Times New Roman"/>
          <w:color w:val="auto"/>
          <w:lang w:val="en-US" w:eastAsia="zh-CN"/>
        </w:rPr>
        <w:t>65</w:t>
      </w:r>
      <w:r>
        <w:rPr>
          <w:rFonts w:ascii="Times New Roman" w:hAnsi="Times New Roman"/>
          <w:color w:val="auto"/>
        </w:rPr>
        <w:t>基。</w:t>
      </w:r>
    </w:p>
    <w:p>
      <w:pPr>
        <w:spacing w:line="360" w:lineRule="auto"/>
        <w:outlineLvl w:val="1"/>
        <w:rPr>
          <w:rFonts w:ascii="Times New Roman" w:hAnsi="Times New Roman"/>
          <w:b/>
          <w:color w:val="auto"/>
          <w:sz w:val="24"/>
          <w:szCs w:val="24"/>
        </w:rPr>
      </w:pPr>
      <w:r>
        <w:rPr>
          <w:rFonts w:ascii="Times New Roman" w:hAnsi="Times New Roman"/>
          <w:b/>
          <w:color w:val="auto"/>
          <w:sz w:val="24"/>
          <w:szCs w:val="24"/>
        </w:rPr>
        <w:t>3电磁环境影响预测与评价</w:t>
      </w:r>
    </w:p>
    <w:p>
      <w:pPr>
        <w:spacing w:line="360" w:lineRule="auto"/>
        <w:rPr>
          <w:rFonts w:hint="eastAsia" w:ascii="Times New Roman" w:hAnsi="Times New Roman"/>
          <w:b/>
          <w:bCs/>
          <w:color w:val="auto"/>
        </w:rPr>
      </w:pPr>
      <w:r>
        <w:rPr>
          <w:rFonts w:hint="eastAsia" w:ascii="Times New Roman" w:hAnsi="Times New Roman"/>
          <w:b/>
          <w:bCs/>
          <w:color w:val="auto"/>
        </w:rPr>
        <w:t>3.1电磁环境现状评价</w:t>
      </w:r>
    </w:p>
    <w:p>
      <w:pPr>
        <w:spacing w:line="360" w:lineRule="auto"/>
        <w:ind w:firstLine="420" w:firstLineChars="200"/>
        <w:rPr>
          <w:rFonts w:hint="eastAsia" w:ascii="Times New Roman" w:hAnsi="Times New Roman"/>
          <w:color w:val="auto"/>
          <w:szCs w:val="24"/>
        </w:rPr>
      </w:pPr>
      <w:r>
        <w:rPr>
          <w:rFonts w:ascii="Times New Roman" w:hAnsi="Times New Roman"/>
          <w:color w:val="auto"/>
        </w:rPr>
        <w:t>为了解和掌握</w:t>
      </w:r>
      <w:r>
        <w:rPr>
          <w:rFonts w:hint="eastAsia" w:ascii="Times New Roman" w:hAnsi="Times New Roman"/>
          <w:color w:val="auto"/>
          <w:szCs w:val="24"/>
        </w:rPr>
        <w:t>文昌气电π接220kV玉洲至江东线路新建工程</w:t>
      </w:r>
      <w:r>
        <w:rPr>
          <w:rFonts w:ascii="Times New Roman" w:hAnsi="Times New Roman"/>
          <w:color w:val="auto"/>
          <w:szCs w:val="24"/>
        </w:rPr>
        <w:t>周围的电磁环境质量现状，评价单位委托</w:t>
      </w:r>
      <w:r>
        <w:rPr>
          <w:rFonts w:hint="eastAsia" w:ascii="Times New Roman"/>
          <w:color w:val="auto"/>
          <w:kern w:val="2"/>
          <w:sz w:val="21"/>
          <w:szCs w:val="21"/>
        </w:rPr>
        <w:t>海南瑞辐科技有限公司</w:t>
      </w:r>
      <w:r>
        <w:rPr>
          <w:rFonts w:ascii="Times New Roman" w:hAnsi="Times New Roman"/>
          <w:color w:val="auto"/>
          <w:szCs w:val="24"/>
        </w:rPr>
        <w:t>对输电线路电磁环境进行了现状测量，具体结果见第3.1节。</w:t>
      </w:r>
    </w:p>
    <w:p>
      <w:pPr>
        <w:spacing w:line="360" w:lineRule="auto"/>
        <w:rPr>
          <w:rFonts w:hint="eastAsia" w:ascii="Times New Roman" w:hAnsi="Times New Roman"/>
          <w:b/>
          <w:color w:val="auto"/>
        </w:rPr>
      </w:pPr>
      <w:r>
        <w:rPr>
          <w:rFonts w:hint="eastAsia" w:ascii="Times New Roman" w:hAnsi="Times New Roman"/>
          <w:b/>
          <w:color w:val="auto"/>
        </w:rPr>
        <w:t>3.2电磁环境预测评价</w:t>
      </w:r>
    </w:p>
    <w:p>
      <w:pPr>
        <w:spacing w:line="360" w:lineRule="auto"/>
        <w:rPr>
          <w:rFonts w:hint="eastAsia" w:ascii="Times New Roman" w:hAnsi="Times New Roman"/>
          <w:b/>
          <w:color w:val="auto"/>
        </w:rPr>
      </w:pPr>
      <w:r>
        <w:rPr>
          <w:rFonts w:hint="eastAsia" w:ascii="Times New Roman" w:hAnsi="Times New Roman"/>
          <w:b/>
          <w:color w:val="auto"/>
        </w:rPr>
        <w:t>3.2.1线路类比监测分析</w:t>
      </w:r>
    </w:p>
    <w:p>
      <w:pPr>
        <w:spacing w:line="360" w:lineRule="auto"/>
        <w:ind w:firstLine="420"/>
        <w:rPr>
          <w:rFonts w:hint="eastAsia" w:ascii="Times New Roman" w:hAnsi="Times New Roman"/>
          <w:color w:val="auto"/>
        </w:rPr>
      </w:pPr>
      <w:r>
        <w:rPr>
          <w:rFonts w:hint="eastAsia" w:ascii="Times New Roman" w:hAnsi="Times New Roman"/>
          <w:color w:val="auto"/>
        </w:rPr>
        <w:t>（</w:t>
      </w:r>
      <w:r>
        <w:rPr>
          <w:rFonts w:ascii="Times New Roman" w:hAnsi="Times New Roman"/>
          <w:color w:val="auto"/>
        </w:rPr>
        <w:t>1</w:t>
      </w:r>
      <w:r>
        <w:rPr>
          <w:rFonts w:hint="eastAsia" w:ascii="Times New Roman" w:hAnsi="Times New Roman"/>
          <w:color w:val="auto"/>
        </w:rPr>
        <w:t>）类比对象</w:t>
      </w:r>
    </w:p>
    <w:p>
      <w:pPr>
        <w:spacing w:line="360" w:lineRule="auto"/>
        <w:ind w:firstLine="420"/>
        <w:rPr>
          <w:rFonts w:hint="eastAsia" w:ascii="Times New Roman" w:hAnsi="Times New Roman"/>
          <w:bCs/>
          <w:color w:val="auto"/>
        </w:rPr>
      </w:pPr>
      <w:r>
        <w:rPr>
          <w:rFonts w:hint="eastAsia" w:ascii="Times New Roman" w:hAnsi="Times New Roman"/>
          <w:color w:val="auto"/>
        </w:rPr>
        <w:t>本工程新建同塔双回线路</w:t>
      </w:r>
      <w:r>
        <w:rPr>
          <w:rFonts w:hint="eastAsia" w:ascii="Times New Roman" w:hAnsi="Times New Roman"/>
          <w:color w:val="auto"/>
          <w:lang w:eastAsia="zh-CN"/>
        </w:rPr>
        <w:t>，</w:t>
      </w:r>
      <w:r>
        <w:rPr>
          <w:rFonts w:hint="eastAsia" w:ascii="Times New Roman" w:hAnsi="Times New Roman"/>
          <w:color w:val="auto"/>
        </w:rPr>
        <w:t>类比线路选择儋州大成经琼中抽蓄至琼海塔洋220kV线路，该已运行线路建设规模、电压等级等</w:t>
      </w:r>
      <w:r>
        <w:rPr>
          <w:rFonts w:hint="eastAsia" w:ascii="Times New Roman" w:hAnsi="Times New Roman"/>
          <w:bCs/>
          <w:color w:val="auto"/>
        </w:rPr>
        <w:t>与本工程线路相似</w:t>
      </w:r>
      <w:r>
        <w:rPr>
          <w:rFonts w:hint="eastAsia" w:ascii="Times New Roman" w:hAnsi="Times New Roman"/>
          <w:bCs/>
          <w:color w:val="auto"/>
          <w:lang w:eastAsia="zh-CN"/>
        </w:rPr>
        <w:t>，导线截面略大于本期线路</w:t>
      </w:r>
      <w:r>
        <w:rPr>
          <w:rFonts w:hint="eastAsia" w:ascii="Times New Roman" w:hAnsi="Times New Roman"/>
          <w:bCs/>
          <w:color w:val="auto"/>
        </w:rPr>
        <w:t>。类比监测结果引自《儋州大成经琼中抽蓄至琼海塔洋</w:t>
      </w:r>
      <w:r>
        <w:rPr>
          <w:rFonts w:ascii="Times New Roman" w:hAnsi="Times New Roman"/>
          <w:bCs/>
          <w:color w:val="auto"/>
        </w:rPr>
        <w:t>220kV</w:t>
      </w:r>
      <w:r>
        <w:rPr>
          <w:rFonts w:hint="eastAsia" w:ascii="Times New Roman" w:hAnsi="Times New Roman"/>
          <w:bCs/>
          <w:color w:val="auto"/>
        </w:rPr>
        <w:t>线路新建工程工频电磁场及环境噪声监测》（琼环辐监</w:t>
      </w:r>
      <w:r>
        <w:rPr>
          <w:rFonts w:ascii="Times New Roman" w:hAnsi="Times New Roman"/>
          <w:bCs/>
          <w:color w:val="auto"/>
        </w:rPr>
        <w:t>[2016]</w:t>
      </w:r>
      <w:r>
        <w:rPr>
          <w:rFonts w:hint="eastAsia" w:ascii="Times New Roman" w:hAnsi="Times New Roman"/>
          <w:bCs/>
          <w:color w:val="auto"/>
        </w:rPr>
        <w:t>第</w:t>
      </w:r>
      <w:r>
        <w:rPr>
          <w:rFonts w:ascii="Times New Roman" w:hAnsi="Times New Roman"/>
          <w:bCs/>
          <w:color w:val="auto"/>
        </w:rPr>
        <w:t>57</w:t>
      </w:r>
      <w:r>
        <w:rPr>
          <w:rFonts w:hint="eastAsia" w:ascii="Times New Roman" w:hAnsi="Times New Roman"/>
          <w:bCs/>
          <w:color w:val="auto"/>
        </w:rPr>
        <w:t>号，海南省辐射环境监测站，</w:t>
      </w:r>
      <w:r>
        <w:rPr>
          <w:rFonts w:ascii="Times New Roman" w:hAnsi="Times New Roman"/>
          <w:bCs/>
          <w:color w:val="auto"/>
        </w:rPr>
        <w:t>2016</w:t>
      </w:r>
      <w:r>
        <w:rPr>
          <w:rFonts w:hint="eastAsia" w:ascii="Times New Roman" w:hAnsi="Times New Roman"/>
          <w:bCs/>
          <w:color w:val="auto"/>
        </w:rPr>
        <w:t>年</w:t>
      </w:r>
      <w:r>
        <w:rPr>
          <w:rFonts w:ascii="Times New Roman" w:hAnsi="Times New Roman"/>
          <w:bCs/>
          <w:color w:val="auto"/>
        </w:rPr>
        <w:t>8</w:t>
      </w:r>
      <w:r>
        <w:rPr>
          <w:rFonts w:hint="eastAsia" w:ascii="Times New Roman" w:hAnsi="Times New Roman"/>
          <w:bCs/>
          <w:color w:val="auto"/>
        </w:rPr>
        <w:t>月编制。</w:t>
      </w:r>
      <w:r>
        <w:rPr>
          <w:rFonts w:ascii="Times New Roman" w:hAnsi="Times New Roman"/>
          <w:bCs/>
          <w:color w:val="auto"/>
        </w:rPr>
        <w:t xml:space="preserve"> </w:t>
      </w:r>
    </w:p>
    <w:p>
      <w:pPr>
        <w:jc w:val="center"/>
        <w:rPr>
          <w:rFonts w:hint="eastAsia"/>
          <w:b/>
          <w:bCs/>
          <w:color w:val="auto"/>
        </w:rPr>
      </w:pPr>
      <w:r>
        <w:rPr>
          <w:rFonts w:hint="eastAsia"/>
          <w:b/>
          <w:bCs/>
          <w:color w:val="auto"/>
        </w:rPr>
        <w:t>表</w:t>
      </w:r>
      <w:r>
        <w:rPr>
          <w:rFonts w:hint="eastAsia" w:ascii="Times New Roman" w:hAnsi="Times New Roman"/>
          <w:b/>
          <w:bCs/>
          <w:color w:val="auto"/>
        </w:rPr>
        <w:t>3</w:t>
      </w:r>
      <w:r>
        <w:rPr>
          <w:rFonts w:ascii="Times New Roman" w:hAnsi="Times New Roman"/>
          <w:b/>
          <w:bCs/>
          <w:color w:val="auto"/>
        </w:rPr>
        <w:t>-</w:t>
      </w:r>
      <w:r>
        <w:rPr>
          <w:rFonts w:hint="eastAsia" w:ascii="Times New Roman" w:hAnsi="Times New Roman"/>
          <w:b/>
          <w:bCs/>
          <w:color w:val="auto"/>
        </w:rPr>
        <w:t>1</w:t>
      </w:r>
      <w:r>
        <w:rPr>
          <w:b/>
          <w:bCs/>
          <w:color w:val="auto"/>
        </w:rPr>
        <w:t xml:space="preserve"> </w:t>
      </w:r>
      <w:r>
        <w:rPr>
          <w:rFonts w:hint="eastAsia"/>
          <w:b/>
          <w:bCs/>
          <w:color w:val="auto"/>
        </w:rPr>
        <w:t>类比监测对象一览表</w:t>
      </w:r>
    </w:p>
    <w:tbl>
      <w:tblPr>
        <w:tblStyle w:val="50"/>
        <w:tblW w:w="8808" w:type="dxa"/>
        <w:jc w:val="center"/>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69"/>
        <w:gridCol w:w="3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color w:val="auto"/>
              </w:rPr>
            </w:pPr>
            <w:r>
              <w:rPr>
                <w:rFonts w:ascii="Times New Roman" w:hAnsi="Times New Roman"/>
                <w:color w:val="auto"/>
              </w:rPr>
              <w:t>项目名称</w:t>
            </w:r>
          </w:p>
        </w:tc>
        <w:tc>
          <w:tcPr>
            <w:tcW w:w="3669" w:type="dxa"/>
            <w:vAlign w:val="center"/>
          </w:tcPr>
          <w:p>
            <w:pPr>
              <w:jc w:val="center"/>
              <w:rPr>
                <w:rFonts w:ascii="Times New Roman" w:hAnsi="Times New Roman"/>
                <w:color w:val="auto"/>
              </w:rPr>
            </w:pPr>
            <w:r>
              <w:rPr>
                <w:rFonts w:hint="eastAsia" w:ascii="Times New Roman" w:hAnsi="Times New Roman"/>
                <w:color w:val="auto"/>
              </w:rPr>
              <w:t>大成至塔洋220kV线路</w:t>
            </w:r>
          </w:p>
        </w:tc>
        <w:tc>
          <w:tcPr>
            <w:tcW w:w="3579" w:type="dxa"/>
            <w:vAlign w:val="center"/>
          </w:tcPr>
          <w:p>
            <w:pPr>
              <w:jc w:val="center"/>
              <w:rPr>
                <w:rFonts w:ascii="Times New Roman" w:hAnsi="Times New Roman"/>
                <w:color w:val="auto"/>
              </w:rPr>
            </w:pPr>
            <w:r>
              <w:rPr>
                <w:rFonts w:ascii="Times New Roman" w:hAnsi="Times New Roman"/>
                <w:color w:val="auto"/>
              </w:rPr>
              <w:t>220kV</w:t>
            </w:r>
            <w:r>
              <w:rPr>
                <w:rFonts w:hint="eastAsia" w:ascii="Times New Roman" w:hAnsi="Times New Roman"/>
                <w:color w:val="auto"/>
                <w:lang w:eastAsia="zh-CN"/>
              </w:rPr>
              <w:t>文昌气电π接玉洲至江东</w:t>
            </w:r>
            <w:r>
              <w:rPr>
                <w:rFonts w:ascii="Times New Roman" w:hAnsi="Times New Roman"/>
                <w:color w:val="auto"/>
              </w:rPr>
              <w:t>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hint="eastAsia" w:ascii="Times New Roman" w:hAnsi="Times New Roman"/>
                <w:color w:val="auto"/>
              </w:rPr>
            </w:pPr>
            <w:r>
              <w:rPr>
                <w:rFonts w:hint="eastAsia" w:ascii="Times New Roman" w:hAnsi="Times New Roman"/>
                <w:color w:val="auto"/>
              </w:rPr>
              <w:t>项目地点</w:t>
            </w:r>
          </w:p>
        </w:tc>
        <w:tc>
          <w:tcPr>
            <w:tcW w:w="3669" w:type="dxa"/>
            <w:vAlign w:val="center"/>
          </w:tcPr>
          <w:p>
            <w:pPr>
              <w:jc w:val="center"/>
              <w:rPr>
                <w:rFonts w:hint="eastAsia" w:ascii="Times New Roman" w:hAnsi="Times New Roman"/>
                <w:color w:val="auto"/>
              </w:rPr>
            </w:pPr>
            <w:r>
              <w:rPr>
                <w:rFonts w:hint="eastAsia" w:ascii="Times New Roman" w:hAnsi="Times New Roman"/>
                <w:color w:val="auto"/>
              </w:rPr>
              <w:t>海南省儋州大成镇及琼海塔洋镇</w:t>
            </w:r>
          </w:p>
        </w:tc>
        <w:tc>
          <w:tcPr>
            <w:tcW w:w="3579" w:type="dxa"/>
            <w:vAlign w:val="center"/>
          </w:tcPr>
          <w:p>
            <w:pPr>
              <w:jc w:val="center"/>
              <w:rPr>
                <w:rFonts w:hint="eastAsia" w:ascii="Times New Roman" w:hAnsi="Times New Roman" w:eastAsia="宋体"/>
                <w:color w:val="auto"/>
                <w:lang w:eastAsia="zh-CN"/>
              </w:rPr>
            </w:pPr>
            <w:r>
              <w:rPr>
                <w:rFonts w:hint="eastAsia" w:ascii="Times New Roman" w:hAnsi="Times New Roman"/>
                <w:color w:val="auto"/>
              </w:rPr>
              <w:t>海南省</w:t>
            </w:r>
            <w:r>
              <w:rPr>
                <w:rFonts w:hint="eastAsia" w:ascii="Times New Roman" w:hAnsi="Times New Roman"/>
                <w:color w:val="auto"/>
                <w:lang w:eastAsia="zh-CN"/>
              </w:rPr>
              <w:t>海口市龙华区、琼山区及美兰区</w:t>
            </w:r>
            <w:r>
              <w:rPr>
                <w:rFonts w:hint="eastAsia" w:ascii="Times New Roman" w:hAnsi="Times New Roman"/>
                <w:color w:val="auto"/>
              </w:rPr>
              <w:t>、</w:t>
            </w:r>
            <w:r>
              <w:rPr>
                <w:rFonts w:hint="eastAsia" w:ascii="Times New Roman" w:hAnsi="Times New Roman"/>
                <w:color w:val="auto"/>
                <w:lang w:eastAsia="zh-CN"/>
              </w:rPr>
              <w:t>文昌市东路镇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color w:val="auto"/>
              </w:rPr>
            </w:pPr>
            <w:r>
              <w:rPr>
                <w:rFonts w:ascii="Times New Roman" w:hAnsi="Times New Roman"/>
                <w:color w:val="auto"/>
              </w:rPr>
              <w:t>架设方式</w:t>
            </w:r>
          </w:p>
        </w:tc>
        <w:tc>
          <w:tcPr>
            <w:tcW w:w="3669" w:type="dxa"/>
            <w:vAlign w:val="center"/>
          </w:tcPr>
          <w:p>
            <w:pPr>
              <w:jc w:val="center"/>
              <w:rPr>
                <w:rFonts w:ascii="Times New Roman" w:hAnsi="Times New Roman"/>
                <w:color w:val="auto"/>
              </w:rPr>
            </w:pPr>
            <w:r>
              <w:rPr>
                <w:rFonts w:ascii="Times New Roman" w:hAnsi="Times New Roman"/>
                <w:color w:val="auto"/>
              </w:rPr>
              <w:t>双回路架空线路</w:t>
            </w:r>
            <w:r>
              <w:rPr>
                <w:rFonts w:hint="eastAsia" w:ascii="Times New Roman" w:hAnsi="Times New Roman"/>
                <w:color w:val="auto"/>
              </w:rPr>
              <w:t>，垂直排列</w:t>
            </w:r>
          </w:p>
        </w:tc>
        <w:tc>
          <w:tcPr>
            <w:tcW w:w="3579" w:type="dxa"/>
            <w:vAlign w:val="center"/>
          </w:tcPr>
          <w:p>
            <w:pPr>
              <w:jc w:val="center"/>
              <w:rPr>
                <w:rFonts w:ascii="Times New Roman" w:hAnsi="Times New Roman"/>
                <w:color w:val="auto"/>
              </w:rPr>
            </w:pPr>
            <w:r>
              <w:rPr>
                <w:rFonts w:ascii="Times New Roman" w:hAnsi="Times New Roman"/>
                <w:color w:val="auto"/>
              </w:rPr>
              <w:t>双回路架空线路</w:t>
            </w:r>
            <w:r>
              <w:rPr>
                <w:rFonts w:hint="eastAsia" w:ascii="Times New Roman" w:hAnsi="Times New Roman"/>
                <w:color w:val="auto"/>
              </w:rPr>
              <w:t>，垂直排列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color w:val="auto"/>
              </w:rPr>
            </w:pPr>
            <w:r>
              <w:rPr>
                <w:rFonts w:ascii="Times New Roman" w:hAnsi="Times New Roman"/>
                <w:color w:val="auto"/>
              </w:rPr>
              <w:t>线路电压</w:t>
            </w:r>
          </w:p>
        </w:tc>
        <w:tc>
          <w:tcPr>
            <w:tcW w:w="3669" w:type="dxa"/>
            <w:vAlign w:val="center"/>
          </w:tcPr>
          <w:p>
            <w:pPr>
              <w:jc w:val="center"/>
              <w:rPr>
                <w:rFonts w:ascii="Times New Roman" w:hAnsi="Times New Roman"/>
                <w:color w:val="auto"/>
              </w:rPr>
            </w:pPr>
            <w:r>
              <w:rPr>
                <w:rFonts w:ascii="Times New Roman" w:hAnsi="Times New Roman"/>
                <w:color w:val="auto"/>
              </w:rPr>
              <w:t>220kV</w:t>
            </w:r>
          </w:p>
        </w:tc>
        <w:tc>
          <w:tcPr>
            <w:tcW w:w="3579" w:type="dxa"/>
            <w:vAlign w:val="center"/>
          </w:tcPr>
          <w:p>
            <w:pPr>
              <w:jc w:val="center"/>
              <w:rPr>
                <w:rFonts w:ascii="Times New Roman" w:hAnsi="Times New Roman"/>
                <w:color w:val="auto"/>
              </w:rPr>
            </w:pPr>
            <w:r>
              <w:rPr>
                <w:rFonts w:ascii="Times New Roman" w:hAnsi="Times New Roman"/>
                <w:color w:val="auto"/>
              </w:rPr>
              <w:t>220kV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color w:val="auto"/>
              </w:rPr>
            </w:pPr>
            <w:r>
              <w:rPr>
                <w:rFonts w:ascii="Times New Roman" w:hAnsi="Times New Roman"/>
                <w:color w:val="auto"/>
              </w:rPr>
              <w:t>导线型号</w:t>
            </w:r>
          </w:p>
        </w:tc>
        <w:tc>
          <w:tcPr>
            <w:tcW w:w="3669" w:type="dxa"/>
            <w:vAlign w:val="center"/>
          </w:tcPr>
          <w:p>
            <w:pPr>
              <w:jc w:val="center"/>
              <w:rPr>
                <w:rFonts w:ascii="Times New Roman" w:hAnsi="Times New Roman"/>
                <w:color w:val="auto"/>
              </w:rPr>
            </w:pPr>
            <w:r>
              <w:rPr>
                <w:rFonts w:ascii="Times New Roman" w:hAnsi="Times New Roman"/>
                <w:color w:val="auto"/>
              </w:rPr>
              <w:t>2×JNRLH60/LB1A-</w:t>
            </w:r>
            <w:r>
              <w:rPr>
                <w:rFonts w:hint="eastAsia" w:ascii="Times New Roman" w:hAnsi="Times New Roman"/>
                <w:color w:val="auto"/>
              </w:rPr>
              <w:t>63</w:t>
            </w:r>
            <w:r>
              <w:rPr>
                <w:rFonts w:ascii="Times New Roman" w:hAnsi="Times New Roman"/>
                <w:color w:val="auto"/>
              </w:rPr>
              <w:t>0/</w:t>
            </w:r>
            <w:r>
              <w:rPr>
                <w:rFonts w:hint="eastAsia" w:ascii="Times New Roman" w:hAnsi="Times New Roman"/>
                <w:color w:val="auto"/>
              </w:rPr>
              <w:t>45</w:t>
            </w:r>
            <w:r>
              <w:rPr>
                <w:rFonts w:ascii="Times New Roman" w:hAnsi="Times New Roman"/>
                <w:color w:val="auto"/>
              </w:rPr>
              <w:t>耐热型导线</w:t>
            </w:r>
          </w:p>
        </w:tc>
        <w:tc>
          <w:tcPr>
            <w:tcW w:w="3579" w:type="dxa"/>
            <w:vAlign w:val="center"/>
          </w:tcPr>
          <w:p>
            <w:pPr>
              <w:jc w:val="center"/>
              <w:rPr>
                <w:rFonts w:ascii="Times New Roman" w:hAnsi="Times New Roman"/>
                <w:color w:val="auto"/>
              </w:rPr>
            </w:pPr>
            <w:r>
              <w:rPr>
                <w:rFonts w:ascii="Times New Roman" w:hAnsi="Times New Roman"/>
                <w:color w:val="auto"/>
              </w:rPr>
              <w:t>2×JL/LB1A-</w:t>
            </w:r>
            <w:r>
              <w:rPr>
                <w:rFonts w:hint="eastAsia" w:ascii="Times New Roman" w:hAnsi="Times New Roman"/>
                <w:color w:val="auto"/>
                <w:lang w:val="en-US" w:eastAsia="zh-CN"/>
              </w:rPr>
              <w:t>40</w:t>
            </w:r>
            <w:r>
              <w:rPr>
                <w:rFonts w:ascii="Times New Roman" w:hAnsi="Times New Roman"/>
                <w:color w:val="auto"/>
              </w:rPr>
              <w:t>0/</w:t>
            </w:r>
            <w:r>
              <w:rPr>
                <w:rFonts w:hint="eastAsia" w:ascii="Times New Roman" w:hAnsi="Times New Roman"/>
                <w:color w:val="auto"/>
                <w:lang w:val="en-US" w:eastAsia="zh-CN"/>
              </w:rPr>
              <w:t>3</w:t>
            </w:r>
            <w:r>
              <w:rPr>
                <w:rFonts w:ascii="Times New Roman" w:hAnsi="Times New Roman"/>
                <w:color w:val="auto"/>
              </w:rPr>
              <w:t>5铝包钢芯铝绞线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color w:val="auto"/>
              </w:rPr>
            </w:pPr>
            <w:r>
              <w:rPr>
                <w:rFonts w:hint="eastAsia" w:ascii="Times New Roman" w:hAnsi="Times New Roman"/>
                <w:color w:val="auto"/>
              </w:rPr>
              <w:t>导线对地高度</w:t>
            </w:r>
          </w:p>
        </w:tc>
        <w:tc>
          <w:tcPr>
            <w:tcW w:w="3669" w:type="dxa"/>
            <w:vAlign w:val="center"/>
          </w:tcPr>
          <w:p>
            <w:pPr>
              <w:jc w:val="center"/>
              <w:rPr>
                <w:rFonts w:ascii="Times New Roman" w:hAnsi="Times New Roman"/>
                <w:color w:val="auto"/>
              </w:rPr>
            </w:pPr>
            <w:r>
              <w:rPr>
                <w:rFonts w:hint="eastAsia" w:ascii="Times New Roman" w:hAnsi="Times New Roman"/>
                <w:color w:val="auto"/>
              </w:rPr>
              <w:t>18m</w:t>
            </w:r>
          </w:p>
        </w:tc>
        <w:tc>
          <w:tcPr>
            <w:tcW w:w="3579" w:type="dxa"/>
            <w:vAlign w:val="center"/>
          </w:tcPr>
          <w:p>
            <w:pPr>
              <w:jc w:val="center"/>
              <w:rPr>
                <w:rFonts w:hint="eastAsia" w:ascii="Times New Roman" w:hAnsi="Times New Roman" w:eastAsia="宋体"/>
                <w:color w:val="auto"/>
                <w:lang w:eastAsia="zh-CN"/>
              </w:rPr>
            </w:pPr>
            <w:r>
              <w:rPr>
                <w:rFonts w:hint="eastAsia" w:ascii="Times New Roman" w:hAnsi="Times New Roman"/>
                <w:color w:val="auto"/>
                <w:lang w:val="en-US" w:eastAsia="zh-CN"/>
              </w:rPr>
              <w:t>不低于10m（</w:t>
            </w:r>
            <w:r>
              <w:rPr>
                <w:rFonts w:hint="eastAsia" w:ascii="Times New Roman" w:hAnsi="Times New Roman"/>
                <w:color w:val="auto"/>
                <w:lang w:eastAsia="zh-CN"/>
              </w:rPr>
              <w:t>可研设计估算</w:t>
            </w:r>
            <w:r>
              <w:rPr>
                <w:rFonts w:hint="eastAsia" w:ascii="Times New Roman" w:hAnsi="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color w:val="auto"/>
                <w:sz w:val="18"/>
                <w:szCs w:val="18"/>
              </w:rPr>
            </w:pPr>
            <w:r>
              <w:rPr>
                <w:rFonts w:ascii="Times New Roman" w:hAnsi="Times New Roman"/>
                <w:color w:val="auto"/>
                <w:sz w:val="18"/>
                <w:szCs w:val="18"/>
              </w:rPr>
              <w:t>运行工况</w:t>
            </w:r>
          </w:p>
        </w:tc>
        <w:tc>
          <w:tcPr>
            <w:tcW w:w="3669" w:type="dxa"/>
            <w:vAlign w:val="center"/>
          </w:tcPr>
          <w:p>
            <w:pPr>
              <w:jc w:val="center"/>
              <w:rPr>
                <w:rFonts w:hint="eastAsia" w:ascii="Times New Roman" w:hAnsi="Times New Roman"/>
                <w:color w:val="auto"/>
              </w:rPr>
            </w:pPr>
            <w:r>
              <w:rPr>
                <w:rFonts w:hint="eastAsia" w:ascii="Times New Roman" w:hAnsi="Times New Roman"/>
                <w:color w:val="auto"/>
              </w:rPr>
              <w:t>220kV成塔Ⅰ回：U=223.25kV ，I=8.36A， P=-0.05MW，Q=-2.11MVar</w:t>
            </w:r>
          </w:p>
          <w:p>
            <w:pPr>
              <w:jc w:val="center"/>
              <w:rPr>
                <w:rFonts w:hint="eastAsia" w:ascii="Times New Roman" w:hAnsi="Times New Roman"/>
                <w:color w:val="auto"/>
              </w:rPr>
            </w:pPr>
            <w:r>
              <w:rPr>
                <w:rFonts w:hint="eastAsia" w:ascii="Times New Roman" w:hAnsi="Times New Roman"/>
                <w:color w:val="auto"/>
              </w:rPr>
              <w:t>220kV成塔Ⅱ回：U=223.17kV ，I=17.72A ，P=4.43MW， Q=-3.79MVar</w:t>
            </w:r>
          </w:p>
        </w:tc>
        <w:tc>
          <w:tcPr>
            <w:tcW w:w="3579" w:type="dxa"/>
            <w:vAlign w:val="center"/>
          </w:tcPr>
          <w:p>
            <w:pPr>
              <w:jc w:val="center"/>
              <w:rPr>
                <w:rFonts w:ascii="Times New Roman" w:hAnsi="Times New Roman"/>
                <w:color w:val="auto"/>
                <w:sz w:val="18"/>
                <w:szCs w:val="18"/>
              </w:rPr>
            </w:pP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color w:val="auto"/>
              </w:rPr>
            </w:pPr>
            <w:r>
              <w:rPr>
                <w:rFonts w:ascii="Times New Roman" w:hAnsi="Times New Roman"/>
                <w:color w:val="auto"/>
              </w:rPr>
              <w:t>监测时间</w:t>
            </w:r>
          </w:p>
        </w:tc>
        <w:tc>
          <w:tcPr>
            <w:tcW w:w="3669" w:type="dxa"/>
            <w:vAlign w:val="center"/>
          </w:tcPr>
          <w:p>
            <w:pPr>
              <w:jc w:val="center"/>
              <w:rPr>
                <w:rFonts w:ascii="Times New Roman" w:hAnsi="Times New Roman"/>
                <w:color w:val="auto"/>
              </w:rPr>
            </w:pPr>
            <w:r>
              <w:rPr>
                <w:rFonts w:ascii="Times New Roman" w:hAnsi="Times New Roman"/>
                <w:color w:val="auto"/>
              </w:rPr>
              <w:t>201</w:t>
            </w:r>
            <w:r>
              <w:rPr>
                <w:rFonts w:hint="eastAsia" w:ascii="Times New Roman" w:hAnsi="Times New Roman"/>
                <w:color w:val="auto"/>
              </w:rPr>
              <w:t>6年3月</w:t>
            </w:r>
            <w:r>
              <w:rPr>
                <w:rFonts w:ascii="Times New Roman" w:hAnsi="Times New Roman"/>
                <w:color w:val="auto"/>
              </w:rPr>
              <w:t>2</w:t>
            </w:r>
            <w:r>
              <w:rPr>
                <w:rFonts w:hint="eastAsia" w:ascii="Times New Roman" w:hAnsi="Times New Roman"/>
                <w:color w:val="auto"/>
              </w:rPr>
              <w:t>9日~</w:t>
            </w:r>
            <w:r>
              <w:rPr>
                <w:rFonts w:ascii="Times New Roman" w:hAnsi="Times New Roman"/>
                <w:color w:val="auto"/>
              </w:rPr>
              <w:t>201</w:t>
            </w:r>
            <w:r>
              <w:rPr>
                <w:rFonts w:hint="eastAsia" w:ascii="Times New Roman" w:hAnsi="Times New Roman"/>
                <w:color w:val="auto"/>
              </w:rPr>
              <w:t>6年4月1日</w:t>
            </w:r>
          </w:p>
        </w:tc>
        <w:tc>
          <w:tcPr>
            <w:tcW w:w="3579" w:type="dxa"/>
            <w:vAlign w:val="center"/>
          </w:tcPr>
          <w:p>
            <w:pPr>
              <w:jc w:val="center"/>
              <w:rPr>
                <w:rFonts w:ascii="Times New Roman" w:hAnsi="Times New Roman"/>
                <w:color w:val="auto"/>
                <w:sz w:val="18"/>
                <w:szCs w:val="18"/>
              </w:rPr>
            </w:pPr>
            <w:r>
              <w:rPr>
                <w:rFonts w:ascii="Times New Roman" w:hAnsi="Times New Roman"/>
                <w:color w:val="auto"/>
                <w:sz w:val="18"/>
                <w:szCs w:val="18"/>
              </w:rPr>
              <w:t>—</w:t>
            </w:r>
          </w:p>
        </w:tc>
      </w:tr>
    </w:tbl>
    <w:p>
      <w:pPr>
        <w:spacing w:line="360" w:lineRule="auto"/>
        <w:ind w:firstLine="420" w:firstLineChars="200"/>
        <w:rPr>
          <w:rFonts w:hint="eastAsia" w:ascii="Times New Roman" w:hAnsi="Times New Roman"/>
          <w:color w:val="auto"/>
        </w:rPr>
      </w:pPr>
      <w:r>
        <w:rPr>
          <w:rFonts w:hint="eastAsia" w:ascii="Times New Roman" w:hAnsi="Times New Roman"/>
          <w:color w:val="auto"/>
        </w:rPr>
        <w:t>（2）监测单位</w:t>
      </w:r>
    </w:p>
    <w:p>
      <w:pPr>
        <w:spacing w:line="360" w:lineRule="auto"/>
        <w:ind w:firstLine="420" w:firstLineChars="200"/>
        <w:rPr>
          <w:rFonts w:hint="eastAsia" w:ascii="Times New Roman" w:hAnsi="Times New Roman"/>
          <w:color w:val="auto"/>
        </w:rPr>
      </w:pPr>
      <w:r>
        <w:rPr>
          <w:rFonts w:hint="eastAsia" w:ascii="Times New Roman" w:hAnsi="Times New Roman"/>
          <w:color w:val="auto"/>
        </w:rPr>
        <w:t>海南省辐射环境监测站</w:t>
      </w:r>
    </w:p>
    <w:p>
      <w:pPr>
        <w:spacing w:line="360" w:lineRule="auto"/>
        <w:ind w:firstLine="420" w:firstLineChars="200"/>
        <w:rPr>
          <w:rFonts w:ascii="Times New Roman" w:hAnsi="Times New Roman"/>
          <w:color w:val="auto"/>
        </w:rPr>
      </w:pPr>
      <w:r>
        <w:rPr>
          <w:rFonts w:hint="eastAsia" w:ascii="Times New Roman" w:hAnsi="Times New Roman"/>
          <w:color w:val="auto"/>
        </w:rPr>
        <w:t>（3）监测项目</w:t>
      </w:r>
    </w:p>
    <w:p>
      <w:pPr>
        <w:spacing w:line="360" w:lineRule="auto"/>
        <w:ind w:firstLine="420"/>
        <w:rPr>
          <w:rFonts w:ascii="Times New Roman" w:hAnsi="Times New Roman"/>
          <w:color w:val="auto"/>
        </w:rPr>
      </w:pPr>
      <w:r>
        <w:rPr>
          <w:rFonts w:hint="eastAsia" w:ascii="Times New Roman" w:hAnsi="Times New Roman"/>
          <w:color w:val="auto"/>
        </w:rPr>
        <w:t>工频电场、工频磁场：地面</w:t>
      </w:r>
      <w:r>
        <w:rPr>
          <w:rFonts w:ascii="Times New Roman" w:hAnsi="Times New Roman"/>
          <w:color w:val="auto"/>
        </w:rPr>
        <w:t>1.5m</w:t>
      </w:r>
      <w:r>
        <w:rPr>
          <w:rFonts w:hint="eastAsia" w:ascii="Times New Roman" w:hAnsi="Times New Roman"/>
          <w:color w:val="auto"/>
        </w:rPr>
        <w:t>高度的工频电场强度、工频磁感应强度。</w:t>
      </w:r>
    </w:p>
    <w:p>
      <w:pPr>
        <w:spacing w:line="360" w:lineRule="auto"/>
        <w:ind w:firstLine="420"/>
        <w:rPr>
          <w:rFonts w:ascii="Times New Roman" w:hAnsi="Times New Roman"/>
          <w:color w:val="auto"/>
        </w:rPr>
      </w:pPr>
      <w:r>
        <w:rPr>
          <w:rFonts w:hint="eastAsia" w:ascii="Times New Roman" w:hAnsi="Times New Roman"/>
          <w:color w:val="auto"/>
        </w:rPr>
        <w:t>（4）监测方法</w:t>
      </w:r>
    </w:p>
    <w:p>
      <w:pPr>
        <w:spacing w:line="360" w:lineRule="auto"/>
        <w:ind w:firstLine="420"/>
        <w:rPr>
          <w:rFonts w:ascii="Times New Roman" w:hAnsi="Times New Roman"/>
          <w:color w:val="auto"/>
        </w:rPr>
      </w:pPr>
      <w:r>
        <w:rPr>
          <w:rFonts w:hint="eastAsia" w:ascii="Times New Roman" w:hAnsi="Times New Roman"/>
          <w:color w:val="auto"/>
        </w:rPr>
        <w:t>工频电场、工频磁场监测方法执行《交流输变电工程电磁环境监测方法（试行）》（HJ681-2013）。</w:t>
      </w:r>
    </w:p>
    <w:p>
      <w:pPr>
        <w:spacing w:line="360" w:lineRule="auto"/>
        <w:ind w:firstLine="420"/>
        <w:rPr>
          <w:rFonts w:ascii="Times New Roman" w:hAnsi="Times New Roman"/>
          <w:color w:val="auto"/>
        </w:rPr>
      </w:pPr>
      <w:r>
        <w:rPr>
          <w:rFonts w:hint="eastAsia" w:ascii="Times New Roman" w:hAnsi="Times New Roman"/>
          <w:color w:val="auto"/>
        </w:rPr>
        <w:t>（5）监测仪器</w:t>
      </w:r>
    </w:p>
    <w:p>
      <w:pPr>
        <w:spacing w:line="360" w:lineRule="auto"/>
        <w:ind w:firstLine="420"/>
        <w:rPr>
          <w:rFonts w:ascii="Times New Roman" w:hAnsi="Times New Roman"/>
          <w:bCs/>
          <w:color w:val="auto"/>
        </w:rPr>
      </w:pPr>
      <w:r>
        <w:rPr>
          <w:rFonts w:hint="eastAsia" w:ascii="Times New Roman" w:hAnsi="Times New Roman"/>
          <w:bCs/>
          <w:color w:val="auto"/>
        </w:rPr>
        <w:t>工频电磁场监测仪器：</w:t>
      </w:r>
      <w:r>
        <w:rPr>
          <w:rFonts w:ascii="Times New Roman" w:hAnsi="Times New Roman"/>
          <w:bCs/>
          <w:color w:val="auto"/>
        </w:rPr>
        <w:t>EFA-300</w:t>
      </w:r>
      <w:r>
        <w:rPr>
          <w:rFonts w:hint="eastAsia" w:ascii="Times New Roman" w:hAnsi="Times New Roman"/>
          <w:bCs/>
          <w:color w:val="auto"/>
        </w:rPr>
        <w:t>工频辐射监测仪，量程范围：电场：</w:t>
      </w:r>
      <w:r>
        <w:rPr>
          <w:rFonts w:ascii="Times New Roman" w:hAnsi="Times New Roman"/>
          <w:bCs/>
          <w:color w:val="auto"/>
        </w:rPr>
        <w:t>0.7V/m—100kV/m</w:t>
      </w:r>
      <w:r>
        <w:rPr>
          <w:rFonts w:hint="eastAsia" w:ascii="Times New Roman" w:hAnsi="Times New Roman"/>
          <w:bCs/>
          <w:color w:val="auto"/>
        </w:rPr>
        <w:t>，磁场：</w:t>
      </w:r>
      <w:r>
        <w:rPr>
          <w:rFonts w:ascii="Times New Roman" w:hAnsi="Times New Roman"/>
          <w:bCs/>
          <w:color w:val="auto"/>
        </w:rPr>
        <w:t>0.</w:t>
      </w:r>
      <w:r>
        <w:rPr>
          <w:rFonts w:hint="eastAsia" w:ascii="Times New Roman" w:hAnsi="Times New Roman"/>
          <w:bCs/>
          <w:color w:val="auto"/>
        </w:rPr>
        <w:t>4</w:t>
      </w:r>
      <w:r>
        <w:rPr>
          <w:rFonts w:ascii="Times New Roman" w:hAnsi="Times New Roman"/>
          <w:bCs/>
          <w:color w:val="auto"/>
        </w:rPr>
        <w:t>nT—31.6mT</w:t>
      </w:r>
      <w:r>
        <w:rPr>
          <w:rFonts w:hint="eastAsia" w:ascii="Times New Roman" w:hAnsi="Times New Roman"/>
          <w:bCs/>
          <w:color w:val="auto"/>
        </w:rPr>
        <w:t>，测量高度：探头离地</w:t>
      </w:r>
      <w:r>
        <w:rPr>
          <w:rFonts w:ascii="Times New Roman" w:hAnsi="Times New Roman"/>
          <w:bCs/>
          <w:color w:val="auto"/>
        </w:rPr>
        <w:t>1.5m</w:t>
      </w:r>
      <w:r>
        <w:rPr>
          <w:rFonts w:hint="eastAsia" w:ascii="Times New Roman" w:hAnsi="Times New Roman"/>
          <w:bCs/>
          <w:color w:val="auto"/>
        </w:rPr>
        <w:t>，在检定有效期内。</w:t>
      </w:r>
    </w:p>
    <w:p>
      <w:pPr>
        <w:spacing w:line="360" w:lineRule="auto"/>
        <w:ind w:firstLine="420"/>
        <w:rPr>
          <w:rFonts w:ascii="Times New Roman" w:hAnsi="Times New Roman"/>
          <w:color w:val="auto"/>
        </w:rPr>
      </w:pPr>
      <w:r>
        <w:rPr>
          <w:rFonts w:hint="eastAsia" w:ascii="Times New Roman" w:hAnsi="Times New Roman"/>
          <w:color w:val="auto"/>
        </w:rPr>
        <w:t>（6）监测布点</w:t>
      </w:r>
    </w:p>
    <w:p>
      <w:pPr>
        <w:spacing w:line="360" w:lineRule="auto"/>
        <w:ind w:firstLine="420"/>
        <w:rPr>
          <w:rFonts w:ascii="Times New Roman" w:hAnsi="Times New Roman"/>
          <w:bCs/>
          <w:color w:val="auto"/>
        </w:rPr>
      </w:pPr>
      <w:r>
        <w:rPr>
          <w:rFonts w:hint="eastAsia" w:ascii="Times New Roman" w:hAnsi="Times New Roman"/>
          <w:bCs/>
          <w:color w:val="auto"/>
        </w:rPr>
        <w:t>工频电场强度和工频磁感应强度</w:t>
      </w:r>
      <w:r>
        <w:rPr>
          <w:rFonts w:hint="eastAsia" w:ascii="Times New Roman" w:hAnsi="Times New Roman"/>
          <w:color w:val="auto"/>
        </w:rPr>
        <w:t>以</w:t>
      </w:r>
      <w:r>
        <w:rPr>
          <w:color w:val="auto"/>
        </w:rPr>
        <w:t>线路中心线</w:t>
      </w:r>
      <w:r>
        <w:rPr>
          <w:rFonts w:hint="eastAsia" w:ascii="Times New Roman" w:hAnsi="Times New Roman"/>
          <w:bCs/>
          <w:color w:val="auto"/>
        </w:rPr>
        <w:t>为测试原点，沿垂直于线路方向进行，测点间距为5</w:t>
      </w:r>
      <w:r>
        <w:rPr>
          <w:rFonts w:ascii="Times New Roman" w:hAnsi="Times New Roman"/>
          <w:bCs/>
          <w:color w:val="auto"/>
        </w:rPr>
        <w:t>m</w:t>
      </w:r>
      <w:r>
        <w:rPr>
          <w:rFonts w:hint="eastAsia" w:ascii="Times New Roman" w:hAnsi="Times New Roman"/>
          <w:bCs/>
          <w:color w:val="auto"/>
        </w:rPr>
        <w:t>，顺序测至边导线地面投影外</w:t>
      </w:r>
      <w:r>
        <w:rPr>
          <w:rFonts w:ascii="Times New Roman" w:hAnsi="Times New Roman"/>
          <w:bCs/>
          <w:color w:val="auto"/>
        </w:rPr>
        <w:t>50m</w:t>
      </w:r>
      <w:r>
        <w:rPr>
          <w:rFonts w:hint="eastAsia" w:ascii="Times New Roman" w:hAnsi="Times New Roman"/>
          <w:bCs/>
          <w:color w:val="auto"/>
        </w:rPr>
        <w:t>处为止。</w:t>
      </w:r>
    </w:p>
    <w:p>
      <w:pPr>
        <w:spacing w:line="360" w:lineRule="auto"/>
        <w:ind w:firstLine="420"/>
        <w:rPr>
          <w:rFonts w:ascii="Times New Roman" w:hAnsi="Times New Roman"/>
          <w:color w:val="auto"/>
        </w:rPr>
      </w:pPr>
      <w:r>
        <w:rPr>
          <w:rFonts w:hint="eastAsia" w:ascii="Times New Roman" w:hAnsi="Times New Roman"/>
          <w:color w:val="auto"/>
        </w:rPr>
        <w:t>（7）监测时间及监测条件</w:t>
      </w:r>
    </w:p>
    <w:p>
      <w:pPr>
        <w:spacing w:line="360" w:lineRule="auto"/>
        <w:ind w:firstLine="420"/>
        <w:rPr>
          <w:rFonts w:ascii="Times New Roman" w:hAnsi="Times New Roman"/>
          <w:color w:val="auto"/>
        </w:rPr>
      </w:pPr>
      <w:r>
        <w:rPr>
          <w:rFonts w:hint="eastAsia" w:ascii="Times New Roman" w:hAnsi="Times New Roman"/>
          <w:color w:val="auto"/>
        </w:rPr>
        <w:t>测量时间：</w:t>
      </w:r>
      <w:r>
        <w:rPr>
          <w:rFonts w:ascii="Times New Roman" w:hAnsi="Times New Roman"/>
          <w:color w:val="auto"/>
        </w:rPr>
        <w:t>201</w:t>
      </w:r>
      <w:r>
        <w:rPr>
          <w:rFonts w:hint="eastAsia" w:ascii="Times New Roman" w:hAnsi="Times New Roman"/>
          <w:color w:val="auto"/>
        </w:rPr>
        <w:t>6年3月</w:t>
      </w:r>
      <w:r>
        <w:rPr>
          <w:rFonts w:ascii="Times New Roman" w:hAnsi="Times New Roman"/>
          <w:color w:val="auto"/>
        </w:rPr>
        <w:t>2</w:t>
      </w:r>
      <w:r>
        <w:rPr>
          <w:rFonts w:hint="eastAsia" w:ascii="Times New Roman" w:hAnsi="Times New Roman"/>
          <w:color w:val="auto"/>
        </w:rPr>
        <w:t>9日~</w:t>
      </w:r>
      <w:r>
        <w:rPr>
          <w:rFonts w:ascii="Times New Roman" w:hAnsi="Times New Roman"/>
          <w:color w:val="auto"/>
        </w:rPr>
        <w:t>201</w:t>
      </w:r>
      <w:r>
        <w:rPr>
          <w:rFonts w:hint="eastAsia" w:ascii="Times New Roman" w:hAnsi="Times New Roman"/>
          <w:color w:val="auto"/>
        </w:rPr>
        <w:t>6年4月1日</w:t>
      </w:r>
    </w:p>
    <w:p>
      <w:pPr>
        <w:spacing w:line="360" w:lineRule="auto"/>
        <w:ind w:firstLine="420"/>
        <w:rPr>
          <w:rFonts w:ascii="Times New Roman" w:hAnsi="Times New Roman"/>
          <w:color w:val="auto"/>
        </w:rPr>
      </w:pPr>
      <w:r>
        <w:rPr>
          <w:rFonts w:hint="eastAsia" w:ascii="Times New Roman" w:hAnsi="Times New Roman"/>
          <w:color w:val="auto"/>
        </w:rPr>
        <w:t>气象条件：多云，环境温度18-</w:t>
      </w:r>
      <w:r>
        <w:rPr>
          <w:rFonts w:ascii="Times New Roman" w:hAnsi="Times New Roman"/>
          <w:color w:val="auto"/>
        </w:rPr>
        <w:t>3</w:t>
      </w:r>
      <w:r>
        <w:rPr>
          <w:rFonts w:hint="eastAsia" w:ascii="Times New Roman" w:hAnsi="Times New Roman"/>
          <w:color w:val="auto"/>
        </w:rPr>
        <w:t>4℃，相对湿度为61-73</w:t>
      </w:r>
      <w:r>
        <w:rPr>
          <w:rFonts w:ascii="Times New Roman" w:hAnsi="Times New Roman"/>
          <w:color w:val="auto"/>
        </w:rPr>
        <w:t>%</w:t>
      </w:r>
      <w:r>
        <w:rPr>
          <w:rFonts w:hint="eastAsia" w:ascii="Times New Roman" w:hAnsi="Times New Roman"/>
          <w:color w:val="auto"/>
        </w:rPr>
        <w:t>。</w:t>
      </w:r>
    </w:p>
    <w:p>
      <w:pPr>
        <w:spacing w:line="360" w:lineRule="auto"/>
        <w:ind w:firstLine="420"/>
        <w:rPr>
          <w:rFonts w:ascii="Times New Roman" w:hAnsi="Times New Roman"/>
          <w:color w:val="auto"/>
        </w:rPr>
      </w:pPr>
      <w:r>
        <w:rPr>
          <w:rFonts w:ascii="Times New Roman" w:hAnsi="Times New Roman"/>
          <w:color w:val="auto"/>
        </w:rPr>
        <w:t>（</w:t>
      </w:r>
      <w:r>
        <w:rPr>
          <w:rFonts w:hint="eastAsia" w:ascii="Times New Roman" w:hAnsi="Times New Roman"/>
          <w:color w:val="auto"/>
        </w:rPr>
        <w:t>8</w:t>
      </w:r>
      <w:r>
        <w:rPr>
          <w:rFonts w:ascii="Times New Roman" w:hAnsi="Times New Roman"/>
          <w:color w:val="auto"/>
        </w:rPr>
        <w:t>）</w:t>
      </w:r>
      <w:r>
        <w:rPr>
          <w:rFonts w:hint="eastAsia" w:ascii="Times New Roman" w:hAnsi="Times New Roman"/>
          <w:color w:val="auto"/>
        </w:rPr>
        <w:t>类比</w:t>
      </w:r>
      <w:r>
        <w:rPr>
          <w:rFonts w:ascii="Times New Roman" w:hAnsi="Times New Roman"/>
          <w:color w:val="auto"/>
        </w:rPr>
        <w:t>监测结果</w:t>
      </w:r>
    </w:p>
    <w:p>
      <w:pPr>
        <w:spacing w:line="360" w:lineRule="auto"/>
        <w:ind w:firstLine="420"/>
        <w:rPr>
          <w:rFonts w:hint="eastAsia" w:ascii="Times New Roman"/>
          <w:color w:val="auto"/>
        </w:rPr>
      </w:pPr>
      <w:r>
        <w:rPr>
          <w:rFonts w:ascii="Times New Roman"/>
          <w:color w:val="auto"/>
          <w:szCs w:val="24"/>
        </w:rPr>
        <w:t>儋州大成经琼中抽蓄至琼海塔洋</w:t>
      </w:r>
      <w:r>
        <w:rPr>
          <w:rFonts w:ascii="Times New Roman" w:hAnsi="Times New Roman"/>
          <w:color w:val="auto"/>
          <w:szCs w:val="24"/>
        </w:rPr>
        <w:t>220kV</w:t>
      </w:r>
      <w:r>
        <w:rPr>
          <w:rFonts w:ascii="Times New Roman"/>
          <w:color w:val="auto"/>
          <w:szCs w:val="24"/>
        </w:rPr>
        <w:t>线路新建工程线路</w:t>
      </w:r>
      <w:r>
        <w:rPr>
          <w:rFonts w:ascii="Times New Roman"/>
          <w:color w:val="auto"/>
        </w:rPr>
        <w:t>运行产生的工频电场强度、工频磁感应强度的监测结果如下：</w:t>
      </w:r>
    </w:p>
    <w:p>
      <w:pPr>
        <w:jc w:val="center"/>
        <w:rPr>
          <w:rFonts w:ascii="Times New Roman" w:hAnsi="Times New Roman"/>
          <w:b/>
          <w:color w:val="auto"/>
        </w:rPr>
      </w:pPr>
      <w:r>
        <w:rPr>
          <w:rFonts w:ascii="Times New Roman"/>
          <w:b/>
          <w:color w:val="auto"/>
        </w:rPr>
        <w:t>表</w:t>
      </w:r>
      <w:r>
        <w:rPr>
          <w:rFonts w:hint="eastAsia" w:ascii="Times New Roman" w:hAnsi="Times New Roman"/>
          <w:b/>
          <w:color w:val="auto"/>
        </w:rPr>
        <w:t>3</w:t>
      </w:r>
      <w:r>
        <w:rPr>
          <w:rFonts w:ascii="Times New Roman" w:hAnsi="Times New Roman"/>
          <w:b/>
          <w:color w:val="auto"/>
        </w:rPr>
        <w:t>-</w:t>
      </w:r>
      <w:r>
        <w:rPr>
          <w:rFonts w:hint="eastAsia" w:ascii="Times New Roman" w:hAnsi="Times New Roman"/>
          <w:b/>
          <w:color w:val="auto"/>
        </w:rPr>
        <w:t>2</w:t>
      </w:r>
      <w:r>
        <w:rPr>
          <w:rFonts w:hint="eastAsia" w:ascii="Times New Roman"/>
          <w:b/>
          <w:color w:val="auto"/>
          <w:szCs w:val="24"/>
        </w:rPr>
        <w:t>儋州大成经琼中抽蓄至琼海塔洋220kV线路</w:t>
      </w:r>
      <w:r>
        <w:rPr>
          <w:rFonts w:hint="eastAsia" w:ascii="Times New Roman"/>
          <w:b/>
          <w:color w:val="auto"/>
        </w:rPr>
        <w:t>类比</w:t>
      </w:r>
      <w:r>
        <w:rPr>
          <w:rFonts w:ascii="Times New Roman"/>
          <w:b/>
          <w:color w:val="auto"/>
        </w:rPr>
        <w:t>监测结果</w:t>
      </w:r>
      <w:r>
        <w:rPr>
          <w:rFonts w:hint="eastAsia" w:ascii="Times New Roman"/>
          <w:b/>
          <w:color w:val="auto"/>
        </w:rPr>
        <w:t>（导线对地高度18m）</w:t>
      </w:r>
    </w:p>
    <w:tbl>
      <w:tblPr>
        <w:tblStyle w:val="50"/>
        <w:tblW w:w="795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2268"/>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color w:val="auto"/>
              </w:rPr>
              <w:t>距</w:t>
            </w:r>
            <w:r>
              <w:rPr>
                <w:rFonts w:hint="eastAsia" w:ascii="Times New Roman"/>
                <w:color w:val="auto"/>
              </w:rPr>
              <w:t>184#~185#塔间</w:t>
            </w:r>
            <w:r>
              <w:rPr>
                <w:rFonts w:ascii="Times New Roman"/>
                <w:color w:val="auto"/>
              </w:rPr>
              <w:t>线路中心距离（</w:t>
            </w:r>
            <w:r>
              <w:rPr>
                <w:rFonts w:ascii="Times New Roman" w:hAnsi="Times New Roman"/>
                <w:color w:val="auto"/>
              </w:rPr>
              <w:t>m</w:t>
            </w:r>
            <w:r>
              <w:rPr>
                <w:rFonts w:ascii="Times New Roman"/>
                <w:color w:val="auto"/>
              </w:rPr>
              <w:t>）</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color w:val="auto"/>
              </w:rPr>
              <w:t>工频电场强度（</w:t>
            </w:r>
            <w:r>
              <w:rPr>
                <w:rFonts w:ascii="Times New Roman" w:hAnsi="Times New Roman"/>
                <w:color w:val="auto"/>
              </w:rPr>
              <w:t>kV/m</w:t>
            </w:r>
            <w:r>
              <w:rPr>
                <w:rFonts w:ascii="Times New Roman"/>
                <w:color w:val="auto"/>
              </w:rPr>
              <w:t>）</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color w:val="auto"/>
              </w:rPr>
              <w:t>工频磁感应强度（</w:t>
            </w:r>
            <w:r>
              <w:rPr>
                <w:rFonts w:ascii="Times New Roman" w:hAnsi="Times New Roman"/>
                <w:color w:val="auto"/>
              </w:rPr>
              <w:t>μT</w:t>
            </w:r>
            <w:r>
              <w:rPr>
                <w:rFonts w:asci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0</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1.</w:t>
            </w:r>
            <w:r>
              <w:rPr>
                <w:rFonts w:hint="eastAsia" w:ascii="Times New Roman" w:hAnsi="Times New Roman"/>
                <w:color w:val="auto"/>
              </w:rPr>
              <w:t>164</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rPr>
              <w:t>1.627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2</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1.</w:t>
            </w:r>
            <w:r>
              <w:rPr>
                <w:rFonts w:hint="eastAsia" w:ascii="Times New Roman" w:hAnsi="Times New Roman"/>
                <w:color w:val="auto"/>
              </w:rPr>
              <w:t>234</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rPr>
              <w:t>1.653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4</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1.</w:t>
            </w:r>
            <w:r>
              <w:rPr>
                <w:rFonts w:hint="eastAsia" w:ascii="Times New Roman" w:hAnsi="Times New Roman"/>
                <w:color w:val="auto"/>
              </w:rPr>
              <w:t>137</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rPr>
              <w:t>1.616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5</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1.</w:t>
            </w:r>
            <w:r>
              <w:rPr>
                <w:rFonts w:hint="eastAsia" w:ascii="Times New Roman" w:hAnsi="Times New Roman"/>
                <w:color w:val="auto"/>
              </w:rPr>
              <w:t>156</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rPr>
              <w:t>1.767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6</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b/>
                <w:color w:val="auto"/>
              </w:rPr>
            </w:pPr>
            <w:r>
              <w:rPr>
                <w:rFonts w:ascii="Times New Roman" w:hAnsi="Times New Roman"/>
                <w:b/>
                <w:color w:val="auto"/>
              </w:rPr>
              <w:t>1.</w:t>
            </w:r>
            <w:r>
              <w:rPr>
                <w:rFonts w:hint="eastAsia" w:ascii="Times New Roman" w:hAnsi="Times New Roman"/>
                <w:b/>
                <w:color w:val="auto"/>
              </w:rPr>
              <w:t>372</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b/>
                <w:color w:val="auto"/>
              </w:rPr>
            </w:pPr>
            <w:r>
              <w:rPr>
                <w:rFonts w:hint="eastAsia" w:ascii="Times New Roman" w:hAnsi="Times New Roman"/>
                <w:b/>
                <w:color w:val="auto"/>
              </w:rPr>
              <w:t>1.874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8</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1.</w:t>
            </w:r>
            <w:r>
              <w:rPr>
                <w:rFonts w:hint="eastAsia" w:ascii="Times New Roman" w:hAnsi="Times New Roman"/>
                <w:color w:val="auto"/>
              </w:rPr>
              <w:t>146</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rPr>
              <w:t>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10</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1.</w:t>
            </w:r>
            <w:r>
              <w:rPr>
                <w:rFonts w:hint="eastAsia" w:ascii="Times New Roman" w:hAnsi="Times New Roman"/>
                <w:color w:val="auto"/>
              </w:rPr>
              <w:t>113</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rPr>
              <w:t>1.672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12</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rPr>
              <w:t>0.979</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rPr>
              <w:t>1.465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14</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rPr>
              <w:t>0.923</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rPr>
              <w:t>1.302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15</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884</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hint="eastAsia" w:ascii="Times New Roman" w:hAnsi="Times New Roman"/>
                <w:color w:val="auto"/>
              </w:rPr>
              <w:t>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16</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0.7</w:t>
            </w:r>
            <w:r>
              <w:rPr>
                <w:rFonts w:hint="eastAsia" w:ascii="Times New Roman" w:hAnsi="Times New Roman"/>
                <w:color w:val="auto"/>
              </w:rPr>
              <w:t>82</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18</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660</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20</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543</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25</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425</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30</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348</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35</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167</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40</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075</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45</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058</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32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rPr>
            </w:pPr>
            <w:r>
              <w:rPr>
                <w:rFonts w:ascii="Times New Roman" w:hAnsi="Times New Roman"/>
                <w:color w:val="auto"/>
              </w:rPr>
              <w:t>50</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047</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rPr>
            </w:pPr>
            <w:r>
              <w:rPr>
                <w:rFonts w:ascii="Times New Roman" w:hAnsi="Times New Roman"/>
                <w:color w:val="auto"/>
              </w:rPr>
              <w:t>0.</w:t>
            </w:r>
            <w:r>
              <w:rPr>
                <w:rFonts w:hint="eastAsia" w:ascii="Times New Roman" w:hAnsi="Times New Roman"/>
                <w:color w:val="auto"/>
              </w:rPr>
              <w:t>115</w:t>
            </w:r>
          </w:p>
        </w:tc>
      </w:tr>
    </w:tbl>
    <w:p>
      <w:pPr>
        <w:spacing w:line="360" w:lineRule="auto"/>
        <w:ind w:firstLine="420" w:firstLineChars="200"/>
        <w:rPr>
          <w:rFonts w:hint="eastAsia" w:ascii="Times New Roman"/>
          <w:color w:val="auto"/>
        </w:rPr>
      </w:pPr>
      <w:r>
        <w:rPr>
          <w:rFonts w:ascii="Times New Roman"/>
          <w:color w:val="auto"/>
        </w:rPr>
        <w:t>由上表可知，</w:t>
      </w:r>
      <w:r>
        <w:rPr>
          <w:rFonts w:ascii="Times New Roman"/>
          <w:color w:val="auto"/>
          <w:szCs w:val="24"/>
        </w:rPr>
        <w:t>儋州大成经琼中抽蓄至琼海塔洋</w:t>
      </w:r>
      <w:r>
        <w:rPr>
          <w:rFonts w:ascii="Times New Roman" w:hAnsi="Times New Roman"/>
          <w:color w:val="auto"/>
          <w:szCs w:val="24"/>
        </w:rPr>
        <w:t>220kV</w:t>
      </w:r>
      <w:r>
        <w:rPr>
          <w:rFonts w:ascii="Times New Roman"/>
          <w:color w:val="auto"/>
          <w:szCs w:val="24"/>
        </w:rPr>
        <w:t>线路</w:t>
      </w:r>
      <w:r>
        <w:rPr>
          <w:rFonts w:ascii="Times New Roman"/>
          <w:color w:val="auto"/>
        </w:rPr>
        <w:t>运行产生的工频电场</w:t>
      </w:r>
      <w:r>
        <w:rPr>
          <w:rFonts w:ascii="Times New Roman"/>
          <w:bCs/>
          <w:color w:val="auto"/>
        </w:rPr>
        <w:t>强度</w:t>
      </w:r>
      <w:r>
        <w:rPr>
          <w:rFonts w:ascii="Times New Roman"/>
          <w:color w:val="auto"/>
        </w:rPr>
        <w:t>为</w:t>
      </w:r>
      <w:r>
        <w:rPr>
          <w:rFonts w:hint="eastAsia" w:ascii="Times New Roman"/>
          <w:color w:val="auto"/>
        </w:rPr>
        <w:t>0.047</w:t>
      </w:r>
      <w:r>
        <w:rPr>
          <w:rFonts w:ascii="Times New Roman" w:hAnsi="Times New Roman"/>
          <w:color w:val="auto"/>
        </w:rPr>
        <w:t>~</w:t>
      </w:r>
      <w:r>
        <w:rPr>
          <w:rFonts w:hint="eastAsia" w:ascii="Times New Roman" w:hAnsi="Times New Roman"/>
          <w:color w:val="auto"/>
        </w:rPr>
        <w:t>1.372</w:t>
      </w:r>
      <w:r>
        <w:rPr>
          <w:rFonts w:ascii="Times New Roman" w:hAnsi="Times New Roman"/>
          <w:color w:val="auto"/>
        </w:rPr>
        <w:t>kV/m</w:t>
      </w:r>
      <w:r>
        <w:rPr>
          <w:rFonts w:ascii="Times New Roman"/>
          <w:color w:val="auto"/>
        </w:rPr>
        <w:t>，工频磁感应为</w:t>
      </w:r>
      <w:r>
        <w:rPr>
          <w:rFonts w:ascii="Times New Roman" w:hAnsi="Times New Roman"/>
          <w:color w:val="auto"/>
        </w:rPr>
        <w:t>0.</w:t>
      </w:r>
      <w:r>
        <w:rPr>
          <w:rFonts w:hint="eastAsia" w:ascii="Times New Roman" w:hAnsi="Times New Roman"/>
          <w:color w:val="auto"/>
        </w:rPr>
        <w:t>115</w:t>
      </w:r>
      <w:r>
        <w:rPr>
          <w:rFonts w:ascii="Times New Roman" w:hAnsi="Times New Roman"/>
          <w:color w:val="auto"/>
        </w:rPr>
        <w:t>~</w:t>
      </w:r>
      <w:r>
        <w:rPr>
          <w:rFonts w:hint="eastAsia" w:ascii="Times New Roman" w:hAnsi="Times New Roman"/>
          <w:color w:val="auto"/>
        </w:rPr>
        <w:t>1</w:t>
      </w:r>
      <w:r>
        <w:rPr>
          <w:rFonts w:ascii="Times New Roman" w:hAnsi="Times New Roman"/>
          <w:color w:val="auto"/>
        </w:rPr>
        <w:t>.8</w:t>
      </w:r>
      <w:r>
        <w:rPr>
          <w:rFonts w:hint="eastAsia" w:ascii="Times New Roman" w:hAnsi="Times New Roman"/>
          <w:color w:val="auto"/>
        </w:rPr>
        <w:t>74</w:t>
      </w:r>
      <w:r>
        <w:rPr>
          <w:rFonts w:ascii="Times New Roman" w:hAnsi="Times New Roman"/>
          <w:color w:val="auto"/>
        </w:rPr>
        <w:t>μT</w:t>
      </w:r>
      <w:r>
        <w:rPr>
          <w:rFonts w:ascii="Times New Roman"/>
          <w:color w:val="auto"/>
        </w:rPr>
        <w:t>，分别满足</w:t>
      </w:r>
      <w:r>
        <w:rPr>
          <w:rFonts w:ascii="Times New Roman" w:hAnsi="Times New Roman"/>
          <w:color w:val="auto"/>
        </w:rPr>
        <w:t>4kV/m</w:t>
      </w:r>
      <w:r>
        <w:rPr>
          <w:rFonts w:ascii="Times New Roman"/>
          <w:color w:val="auto"/>
        </w:rPr>
        <w:t>、</w:t>
      </w:r>
      <w:r>
        <w:rPr>
          <w:rFonts w:ascii="Times New Roman" w:hAnsi="Times New Roman"/>
          <w:color w:val="auto"/>
        </w:rPr>
        <w:t>100μT</w:t>
      </w:r>
      <w:r>
        <w:rPr>
          <w:rFonts w:ascii="Times New Roman"/>
          <w:color w:val="auto"/>
        </w:rPr>
        <w:t>的</w:t>
      </w:r>
      <w:r>
        <w:rPr>
          <w:rFonts w:hint="eastAsia" w:ascii="Times New Roman"/>
          <w:color w:val="auto"/>
        </w:rPr>
        <w:t>评价限值</w:t>
      </w:r>
      <w:r>
        <w:rPr>
          <w:rFonts w:ascii="Times New Roman"/>
          <w:color w:val="auto"/>
        </w:rPr>
        <w:t>要求。</w:t>
      </w:r>
    </w:p>
    <w:p>
      <w:pPr>
        <w:spacing w:line="360" w:lineRule="auto"/>
        <w:ind w:firstLine="420" w:firstLineChars="200"/>
        <w:rPr>
          <w:rFonts w:hint="eastAsia" w:ascii="Times New Roman" w:hAnsi="Times New Roman"/>
          <w:color w:val="auto"/>
        </w:rPr>
      </w:pPr>
      <w:r>
        <w:rPr>
          <w:rFonts w:hint="eastAsia" w:ascii="Times New Roman" w:hAnsi="Times New Roman"/>
          <w:color w:val="auto"/>
        </w:rPr>
        <w:t>通</w:t>
      </w:r>
      <w:r>
        <w:rPr>
          <w:rFonts w:ascii="Times New Roman" w:hAnsi="Times New Roman"/>
          <w:color w:val="auto"/>
        </w:rPr>
        <w:t>过220kV输电线路工频电场强度、工频磁感应强度衰减断面的变化趋势分析，线路运行产生的工频电场强度、磁感应强度随距离的增大而逐渐减少</w:t>
      </w:r>
      <w:r>
        <w:rPr>
          <w:rFonts w:hint="eastAsia" w:ascii="Times New Roman" w:hAnsi="Times New Roman"/>
          <w:color w:val="auto"/>
        </w:rPr>
        <w:t>；</w:t>
      </w:r>
      <w:r>
        <w:rPr>
          <w:rFonts w:ascii="Times New Roman" w:hAnsi="Times New Roman"/>
          <w:color w:val="auto"/>
        </w:rPr>
        <w:t>从类比监测可知</w:t>
      </w:r>
      <w:r>
        <w:rPr>
          <w:rFonts w:hint="eastAsia" w:ascii="Times New Roman" w:hAnsi="Times New Roman"/>
          <w:color w:val="auto"/>
        </w:rPr>
        <w:t>当导线保持足够的净空高度，</w:t>
      </w:r>
      <w:r>
        <w:rPr>
          <w:rFonts w:ascii="Times New Roman" w:hAnsi="Times New Roman"/>
          <w:color w:val="auto"/>
        </w:rPr>
        <w:t>220kV线路产生的工频电场强度、工频磁感应强度分别小于4kV/m、100μT评价</w:t>
      </w:r>
      <w:r>
        <w:rPr>
          <w:rFonts w:hint="eastAsia" w:ascii="Times New Roman"/>
          <w:color w:val="auto"/>
        </w:rPr>
        <w:t>限值</w:t>
      </w:r>
      <w:r>
        <w:rPr>
          <w:rFonts w:ascii="Times New Roman"/>
          <w:color w:val="auto"/>
        </w:rPr>
        <w:t>要求</w:t>
      </w:r>
      <w:r>
        <w:rPr>
          <w:rFonts w:ascii="Times New Roman" w:hAnsi="Times New Roman"/>
          <w:color w:val="auto"/>
        </w:rPr>
        <w:t>。</w:t>
      </w:r>
    </w:p>
    <w:p>
      <w:pPr>
        <w:spacing w:line="360" w:lineRule="auto"/>
        <w:rPr>
          <w:rFonts w:hint="eastAsia" w:ascii="Times New Roman" w:hAnsi="Times New Roman"/>
          <w:b/>
          <w:color w:val="auto"/>
        </w:rPr>
      </w:pPr>
      <w:r>
        <w:rPr>
          <w:rFonts w:hint="eastAsia" w:ascii="Times New Roman" w:hAnsi="Times New Roman"/>
          <w:b/>
          <w:color w:val="auto"/>
        </w:rPr>
        <w:t>3.2.2线路预测计算</w:t>
      </w:r>
    </w:p>
    <w:p>
      <w:pPr>
        <w:spacing w:line="360" w:lineRule="auto"/>
        <w:ind w:firstLine="420"/>
        <w:rPr>
          <w:rFonts w:hint="eastAsia" w:ascii="Times New Roman" w:hAnsi="Times New Roman"/>
          <w:color w:val="auto"/>
        </w:rPr>
      </w:pPr>
      <w:r>
        <w:rPr>
          <w:rFonts w:hint="eastAsia" w:ascii="Times New Roman" w:hAnsi="Times New Roman"/>
          <w:color w:val="auto"/>
        </w:rPr>
        <w:t>根据《环境影响评价技术导则 输变电工程》（HJ24-2014），本工程为电磁环境二级评价，架空线路电磁环境影响预测采用模式预测和类比监测的方式来分析、预测和评价工程建成投运后产生的电磁环境影响。</w:t>
      </w:r>
    </w:p>
    <w:p>
      <w:pPr>
        <w:spacing w:line="360" w:lineRule="auto"/>
        <w:ind w:firstLine="420" w:firstLineChars="200"/>
        <w:rPr>
          <w:rFonts w:ascii="Times New Roman" w:hAnsi="Times New Roman"/>
          <w:color w:val="auto"/>
        </w:rPr>
      </w:pPr>
      <w:r>
        <w:rPr>
          <w:rFonts w:ascii="Times New Roman" w:hAnsi="Times New Roman"/>
          <w:color w:val="auto"/>
        </w:rPr>
        <w:t>（1）计算模式</w:t>
      </w:r>
    </w:p>
    <w:p>
      <w:pPr>
        <w:autoSpaceDE w:val="0"/>
        <w:autoSpaceDN w:val="0"/>
        <w:adjustRightInd w:val="0"/>
        <w:spacing w:line="360" w:lineRule="auto"/>
        <w:ind w:firstLine="480"/>
        <w:rPr>
          <w:rFonts w:hint="eastAsia" w:ascii="Times New Roman" w:hAnsi="Times New Roman"/>
          <w:color w:val="auto"/>
          <w:lang w:val="zh-CN"/>
        </w:rPr>
      </w:pPr>
      <w:r>
        <w:rPr>
          <w:rFonts w:hint="eastAsia" w:ascii="Times New Roman" w:hAnsi="Times New Roman"/>
          <w:color w:val="auto"/>
          <w:lang w:val="zh-CN"/>
        </w:rPr>
        <w:t>输电线路的工频电场强度、工频磁感应强度的预测参照</w:t>
      </w:r>
      <w:r>
        <w:rPr>
          <w:rFonts w:hint="eastAsia" w:ascii="Times New Roman" w:hAnsi="Times New Roman"/>
          <w:color w:val="auto"/>
        </w:rPr>
        <w:t>《环境影响评价技术导则</w:t>
      </w:r>
      <w:r>
        <w:rPr>
          <w:rFonts w:ascii="Times New Roman" w:hAnsi="Times New Roman"/>
          <w:color w:val="auto"/>
        </w:rPr>
        <w:t xml:space="preserve"> </w:t>
      </w:r>
      <w:r>
        <w:rPr>
          <w:rFonts w:hint="eastAsia" w:ascii="Times New Roman" w:hAnsi="Times New Roman"/>
          <w:color w:val="auto"/>
        </w:rPr>
        <w:t>输变电工程》</w:t>
      </w:r>
      <w:r>
        <w:rPr>
          <w:rFonts w:ascii="Times New Roman" w:hAnsi="Times New Roman"/>
          <w:color w:val="auto"/>
        </w:rPr>
        <w:t>（HJ24-2014）</w:t>
      </w:r>
      <w:r>
        <w:rPr>
          <w:rFonts w:hint="eastAsia" w:ascii="Times New Roman" w:hAnsi="Times New Roman"/>
          <w:color w:val="auto"/>
          <w:lang w:val="zh-CN"/>
        </w:rPr>
        <w:t>附录中的推荐模式。具体模式如下：</w:t>
      </w:r>
    </w:p>
    <w:p>
      <w:pPr>
        <w:autoSpaceDE w:val="0"/>
        <w:autoSpaceDN w:val="0"/>
        <w:adjustRightInd w:val="0"/>
        <w:spacing w:line="360" w:lineRule="auto"/>
        <w:ind w:firstLine="480"/>
        <w:rPr>
          <w:rFonts w:ascii="Times New Roman" w:hAnsi="Times New Roman"/>
          <w:color w:val="auto"/>
          <w:lang w:val="zh-CN"/>
        </w:rPr>
      </w:pPr>
      <w:r>
        <w:rPr>
          <w:rFonts w:ascii="Times New Roman" w:hAnsi="Times New Roman"/>
          <w:b/>
          <w:bCs/>
          <w:color w:val="auto"/>
          <w:lang w:val="zh-CN"/>
        </w:rPr>
        <w:t>a.工频电场强度预测</w:t>
      </w:r>
    </w:p>
    <w:p>
      <w:pPr>
        <w:autoSpaceDE w:val="0"/>
        <w:autoSpaceDN w:val="0"/>
        <w:adjustRightInd w:val="0"/>
        <w:spacing w:line="360" w:lineRule="auto"/>
        <w:ind w:firstLine="480"/>
        <w:rPr>
          <w:rFonts w:ascii="Times New Roman" w:hAnsi="Times New Roman"/>
          <w:color w:val="auto"/>
          <w:lang w:val="zh-CN"/>
        </w:rPr>
      </w:pPr>
      <w:r>
        <w:rPr>
          <w:rFonts w:hint="eastAsia" w:ascii="Times New Roman" w:hAnsi="Times New Roman"/>
          <w:color w:val="auto"/>
          <w:lang w:val="zh-CN"/>
        </w:rPr>
        <w:t>利用等效电荷法计算高压送电线路下空间工频电场强度。</w:t>
      </w:r>
    </w:p>
    <w:p>
      <w:pPr>
        <w:autoSpaceDE w:val="0"/>
        <w:autoSpaceDN w:val="0"/>
        <w:adjustRightInd w:val="0"/>
        <w:spacing w:line="360" w:lineRule="auto"/>
        <w:ind w:firstLine="480"/>
        <w:rPr>
          <w:rFonts w:ascii="Times New Roman" w:hAnsi="Times New Roman"/>
          <w:color w:val="auto"/>
          <w:sz w:val="24"/>
          <w:szCs w:val="24"/>
          <w:lang w:val="zh-CN"/>
        </w:rPr>
      </w:pPr>
      <w:r>
        <w:rPr>
          <w:rFonts w:hint="eastAsia" w:ascii="Times New Roman" w:hAnsi="Times New Roman"/>
          <w:color w:val="auto"/>
          <w:lang w:val="zh-CN"/>
        </w:rPr>
        <w:t>首先利用镜像法计算送电线上的等效电荷。可由下列矩阵方程计算多导线线路中导线上的等效电荷：</w:t>
      </w:r>
    </w:p>
    <w:p>
      <w:pPr>
        <w:autoSpaceDE w:val="0"/>
        <w:autoSpaceDN w:val="0"/>
        <w:adjustRightInd w:val="0"/>
        <w:spacing w:line="360" w:lineRule="auto"/>
        <w:ind w:firstLine="1680"/>
        <w:rPr>
          <w:rFonts w:ascii="Times New Roman" w:hAnsi="Times New Roman"/>
          <w:color w:val="auto"/>
          <w:sz w:val="24"/>
          <w:lang w:val="zh-CN"/>
        </w:rPr>
      </w:pPr>
      <w:r>
        <w:rPr>
          <w:rFonts w:ascii="Times New Roman" w:hAnsi="Times New Roman"/>
          <w:color w:val="auto"/>
          <w:kern w:val="0"/>
          <w:sz w:val="20"/>
          <w:lang w:val="zh-CN"/>
        </w:rPr>
        <w:object>
          <v:shape id="_x0000_i1025" o:spt="75" type="#_x0000_t75" style="height:57.6pt;width:28.85pt;" o:ole="t" filled="f" o:preferrelative="t" stroked="f" coordsize="21600,21600">
            <v:path/>
            <v:fill on="f" focussize="0,0"/>
            <v:stroke on="f"/>
            <v:imagedata r:id="rId26" o:title=""/>
            <o:lock v:ext="edit" aspectratio="t"/>
            <w10:wrap type="none"/>
            <w10:anchorlock/>
          </v:shape>
          <o:OLEObject Type="Embed" ProgID="Equation.3" ShapeID="_x0000_i1025" DrawAspect="Content" ObjectID="_1468075725" r:id="rId25">
            <o:LockedField>false</o:LockedField>
          </o:OLEObject>
        </w:object>
      </w:r>
      <w:r>
        <w:rPr>
          <w:rFonts w:ascii="Times New Roman" w:hAnsi="Times New Roman"/>
          <w:color w:val="auto"/>
          <w:sz w:val="24"/>
          <w:lang w:val="zh-CN"/>
        </w:rPr>
        <w:t xml:space="preserve"> </w:t>
      </w:r>
      <w:r>
        <w:rPr>
          <w:rFonts w:hint="eastAsia" w:ascii="Times New Roman" w:hAnsi="Times New Roman"/>
          <w:color w:val="auto"/>
          <w:sz w:val="24"/>
          <w:lang w:val="zh-CN"/>
        </w:rPr>
        <w:t>＝</w:t>
      </w:r>
      <w:r>
        <w:rPr>
          <w:rFonts w:ascii="Times New Roman" w:hAnsi="Times New Roman"/>
          <w:color w:val="auto"/>
          <w:kern w:val="0"/>
          <w:sz w:val="20"/>
          <w:lang w:val="zh-CN"/>
        </w:rPr>
        <w:object>
          <v:shape id="_x0000_i1026" o:spt="75" type="#_x0000_t75" style="height:57.6pt;width:108.25pt;" o:ole="t" filled="f" o:preferrelative="t" stroked="f" coordsize="21600,21600">
            <v:path/>
            <v:fill on="f" focussize="0,0"/>
            <v:stroke on="f"/>
            <v:imagedata r:id="rId28" o:title=""/>
            <o:lock v:ext="edit" aspectratio="t"/>
            <w10:wrap type="none"/>
            <w10:anchorlock/>
          </v:shape>
          <o:OLEObject Type="Embed" ProgID="Equation.3" ShapeID="_x0000_i1026" DrawAspect="Content" ObjectID="_1468075726" r:id="rId27">
            <o:LockedField>false</o:LockedField>
          </o:OLEObject>
        </w:object>
      </w:r>
      <w:r>
        <w:rPr>
          <w:rFonts w:ascii="Times New Roman" w:hAnsi="Times New Roman"/>
          <w:color w:val="auto"/>
          <w:sz w:val="24"/>
          <w:lang w:val="zh-CN"/>
        </w:rPr>
        <w:t xml:space="preserve"> </w:t>
      </w:r>
      <w:r>
        <w:rPr>
          <w:rFonts w:ascii="Times New Roman" w:hAnsi="Times New Roman"/>
          <w:color w:val="auto"/>
          <w:kern w:val="0"/>
          <w:sz w:val="20"/>
          <w:lang w:val="zh-CN"/>
        </w:rPr>
        <w:object>
          <v:shape id="_x0000_i1027" o:spt="75" type="#_x0000_t75" style="height:57.6pt;width:28.85pt;" o:ole="t" filled="f" o:preferrelative="t" stroked="f" coordsize="21600,21600">
            <v:path/>
            <v:fill on="f" focussize="0,0"/>
            <v:stroke on="f"/>
            <v:imagedata r:id="rId30" o:title=""/>
            <o:lock v:ext="edit" aspectratio="t"/>
            <w10:wrap type="none"/>
            <w10:anchorlock/>
          </v:shape>
          <o:OLEObject Type="Embed" ProgID="Equation.3" ShapeID="_x0000_i1027" DrawAspect="Content" ObjectID="_1468075727" r:id="rId29">
            <o:LockedField>false</o:LockedField>
          </o:OLEObject>
        </w:object>
      </w:r>
      <w:r>
        <w:rPr>
          <w:rFonts w:ascii="Times New Roman" w:hAnsi="Times New Roman"/>
          <w:color w:val="auto"/>
          <w:sz w:val="24"/>
          <w:lang w:val="zh-CN"/>
        </w:rPr>
        <w:t xml:space="preserve">       </w:t>
      </w:r>
    </w:p>
    <w:p>
      <w:pPr>
        <w:autoSpaceDE w:val="0"/>
        <w:autoSpaceDN w:val="0"/>
        <w:adjustRightInd w:val="0"/>
        <w:spacing w:line="360" w:lineRule="auto"/>
        <w:rPr>
          <w:rFonts w:ascii="Times New Roman" w:hAnsi="Times New Roman"/>
          <w:color w:val="auto"/>
          <w:lang w:val="zh-CN"/>
        </w:rPr>
      </w:pPr>
      <w:r>
        <w:rPr>
          <w:rFonts w:hint="eastAsia" w:ascii="Times New Roman" w:hAnsi="Times New Roman"/>
          <w:color w:val="auto"/>
          <w:lang w:val="zh-CN"/>
        </w:rPr>
        <w:t>式中</w:t>
      </w:r>
      <w:r>
        <w:rPr>
          <w:rFonts w:ascii="Times New Roman" w:hAnsi="Times New Roman"/>
          <w:color w:val="auto"/>
          <w:lang w:val="zh-CN"/>
        </w:rPr>
        <w:t>：[U]——各导线对地电压的单列矩阵；</w:t>
      </w:r>
    </w:p>
    <w:p>
      <w:pPr>
        <w:autoSpaceDE w:val="0"/>
        <w:autoSpaceDN w:val="0"/>
        <w:adjustRightInd w:val="0"/>
        <w:spacing w:line="360" w:lineRule="auto"/>
        <w:rPr>
          <w:rFonts w:ascii="Times New Roman" w:hAnsi="Times New Roman"/>
          <w:color w:val="auto"/>
          <w:lang w:val="zh-CN"/>
        </w:rPr>
      </w:pPr>
      <w:r>
        <w:rPr>
          <w:rFonts w:ascii="Times New Roman" w:hAnsi="Times New Roman"/>
          <w:color w:val="auto"/>
          <w:lang w:val="zh-CN"/>
        </w:rPr>
        <w:t xml:space="preserve">      [Q]——各导线上等效电荷的单列矩阵；</w:t>
      </w:r>
    </w:p>
    <w:p>
      <w:pPr>
        <w:autoSpaceDE w:val="0"/>
        <w:autoSpaceDN w:val="0"/>
        <w:adjustRightInd w:val="0"/>
        <w:spacing w:line="360" w:lineRule="auto"/>
        <w:rPr>
          <w:rFonts w:ascii="Times New Roman" w:hAnsi="Times New Roman"/>
          <w:color w:val="auto"/>
          <w:lang w:val="zh-CN"/>
        </w:rPr>
      </w:pPr>
      <w:r>
        <w:rPr>
          <w:rFonts w:ascii="Times New Roman" w:hAnsi="Times New Roman"/>
          <w:color w:val="auto"/>
          <w:lang w:val="zh-CN"/>
        </w:rPr>
        <w:t xml:space="preserve">      [λ] ——各导线的电位系数组成的n阶方阵(n为导线数目)。</w:t>
      </w:r>
    </w:p>
    <w:p>
      <w:pPr>
        <w:autoSpaceDE w:val="0"/>
        <w:autoSpaceDN w:val="0"/>
        <w:adjustRightInd w:val="0"/>
        <w:spacing w:line="360" w:lineRule="auto"/>
        <w:ind w:firstLine="630" w:firstLineChars="300"/>
        <w:rPr>
          <w:rFonts w:ascii="Times New Roman" w:hAnsi="Times New Roman"/>
          <w:color w:val="auto"/>
          <w:sz w:val="24"/>
          <w:lang w:val="zh-CN"/>
        </w:rPr>
      </w:pPr>
      <w:r>
        <w:rPr>
          <w:rFonts w:ascii="Times New Roman" w:hAnsi="Times New Roman"/>
          <w:color w:val="auto"/>
          <w:lang w:val="zh-CN"/>
        </w:rPr>
        <w:t>[U]矩阵可由送电线的电压和相位确定，从环境保护考虑以额定电压的1.05倍作为计算电压。</w:t>
      </w:r>
    </w:p>
    <w:p>
      <w:pPr>
        <w:spacing w:line="360" w:lineRule="auto"/>
        <w:ind w:firstLine="1380" w:firstLineChars="575"/>
        <w:rPr>
          <w:rFonts w:hint="eastAsia" w:ascii="Times New Roman" w:hAnsi="Times New Roman"/>
          <w:color w:val="auto"/>
          <w:sz w:val="24"/>
        </w:rPr>
      </w:pPr>
      <w:r>
        <w:rPr>
          <w:rFonts w:ascii="Times New Roman" w:hAnsi="Times New Roman"/>
          <w:color w:val="auto"/>
          <w:sz w:val="24"/>
        </w:rPr>
        <w:drawing>
          <wp:inline distT="0" distB="0" distL="114300" distR="114300">
            <wp:extent cx="3926840" cy="2198370"/>
            <wp:effectExtent l="0" t="0" r="16510" b="11430"/>
            <wp:docPr id="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pic:cNvPicPr>
                      <a:picLocks noChangeAspect="1"/>
                    </pic:cNvPicPr>
                  </pic:nvPicPr>
                  <pic:blipFill>
                    <a:blip r:embed="rId31"/>
                    <a:stretch>
                      <a:fillRect/>
                    </a:stretch>
                  </pic:blipFill>
                  <pic:spPr>
                    <a:xfrm>
                      <a:off x="0" y="0"/>
                      <a:ext cx="3926840" cy="2198370"/>
                    </a:xfrm>
                    <a:prstGeom prst="rect">
                      <a:avLst/>
                    </a:prstGeom>
                    <a:noFill/>
                    <a:ln>
                      <a:noFill/>
                    </a:ln>
                  </pic:spPr>
                </pic:pic>
              </a:graphicData>
            </a:graphic>
          </wp:inline>
        </w:drawing>
      </w:r>
    </w:p>
    <w:p>
      <w:pPr>
        <w:autoSpaceDE w:val="0"/>
        <w:autoSpaceDN w:val="0"/>
        <w:adjustRightInd w:val="0"/>
        <w:spacing w:line="360" w:lineRule="auto"/>
        <w:jc w:val="center"/>
        <w:rPr>
          <w:rFonts w:ascii="Times New Roman" w:hAnsi="Times New Roman"/>
          <w:color w:val="auto"/>
          <w:lang w:val="zh-CN"/>
        </w:rPr>
      </w:pPr>
      <w:r>
        <w:rPr>
          <w:rFonts w:hint="eastAsia" w:ascii="Times New Roman" w:hAnsi="Times New Roman"/>
          <w:color w:val="auto"/>
          <w:lang w:val="zh-CN"/>
        </w:rPr>
        <w:t>对地电压计算图</w:t>
      </w:r>
    </w:p>
    <w:p>
      <w:pPr>
        <w:autoSpaceDE w:val="0"/>
        <w:autoSpaceDN w:val="0"/>
        <w:adjustRightInd w:val="0"/>
        <w:spacing w:line="360" w:lineRule="auto"/>
        <w:ind w:firstLine="480"/>
        <w:rPr>
          <w:rFonts w:ascii="Times New Roman" w:hAnsi="Times New Roman"/>
          <w:color w:val="auto"/>
          <w:sz w:val="24"/>
          <w:lang w:val="zh-CN"/>
        </w:rPr>
      </w:pPr>
      <w:r>
        <w:rPr>
          <w:rFonts w:hint="eastAsia" w:ascii="Times New Roman" w:hAnsi="Times New Roman"/>
          <w:color w:val="auto"/>
          <w:lang w:val="zh-CN"/>
        </w:rPr>
        <w:t>对于</w:t>
      </w:r>
      <w:r>
        <w:rPr>
          <w:rFonts w:hint="eastAsia" w:ascii="Times New Roman" w:hAnsi="Times New Roman"/>
          <w:color w:val="auto"/>
        </w:rPr>
        <w:t>22</w:t>
      </w:r>
      <w:r>
        <w:rPr>
          <w:rFonts w:ascii="Times New Roman" w:hAnsi="Times New Roman"/>
          <w:color w:val="auto"/>
          <w:lang w:val="zh-CN"/>
        </w:rPr>
        <w:t>0kV</w:t>
      </w:r>
      <w:r>
        <w:rPr>
          <w:rFonts w:hint="eastAsia" w:ascii="Times New Roman" w:hAnsi="Times New Roman"/>
          <w:color w:val="auto"/>
          <w:lang w:val="zh-CN"/>
        </w:rPr>
        <w:t>三相导线，各相导线对地电压为：</w:t>
      </w:r>
    </w:p>
    <w:p>
      <w:pPr>
        <w:spacing w:line="360" w:lineRule="auto"/>
        <w:ind w:firstLine="1207" w:firstLineChars="575"/>
        <w:rPr>
          <w:rFonts w:ascii="Times New Roman" w:hAnsi="Times New Roman"/>
          <w:color w:val="auto"/>
        </w:rPr>
      </w:pPr>
      <w:r>
        <w:rPr>
          <w:rFonts w:ascii="Times New Roman" w:hAnsi="Times New Roman"/>
          <w:color w:val="auto"/>
        </w:rPr>
        <w:t>︱U</w:t>
      </w:r>
      <w:r>
        <w:rPr>
          <w:rFonts w:ascii="Times New Roman" w:hAnsi="Times New Roman"/>
          <w:color w:val="auto"/>
          <w:vertAlign w:val="subscript"/>
        </w:rPr>
        <w:t>A</w:t>
      </w:r>
      <w:r>
        <w:rPr>
          <w:rFonts w:ascii="Times New Roman" w:hAnsi="Times New Roman"/>
          <w:color w:val="auto"/>
        </w:rPr>
        <w:t>︱=︱U</w:t>
      </w:r>
      <w:r>
        <w:rPr>
          <w:rFonts w:ascii="Times New Roman" w:hAnsi="Times New Roman"/>
          <w:color w:val="auto"/>
          <w:vertAlign w:val="subscript"/>
        </w:rPr>
        <w:t>B</w:t>
      </w:r>
      <w:r>
        <w:rPr>
          <w:rFonts w:ascii="Times New Roman" w:hAnsi="Times New Roman"/>
          <w:color w:val="auto"/>
        </w:rPr>
        <w:t>︱=︱U</w:t>
      </w:r>
      <w:r>
        <w:rPr>
          <w:rFonts w:ascii="Times New Roman" w:hAnsi="Times New Roman"/>
          <w:color w:val="auto"/>
          <w:vertAlign w:val="subscript"/>
        </w:rPr>
        <w:t>C</w:t>
      </w:r>
      <w:r>
        <w:rPr>
          <w:rFonts w:ascii="Times New Roman" w:hAnsi="Times New Roman"/>
          <w:color w:val="auto"/>
        </w:rPr>
        <w:t>︱=220×1.05/√3=133.4kV</w:t>
      </w:r>
    </w:p>
    <w:p>
      <w:pPr>
        <w:autoSpaceDE w:val="0"/>
        <w:autoSpaceDN w:val="0"/>
        <w:adjustRightInd w:val="0"/>
        <w:spacing w:line="360" w:lineRule="auto"/>
        <w:ind w:firstLine="480"/>
        <w:rPr>
          <w:rFonts w:ascii="Times New Roman" w:hAnsi="Times New Roman"/>
          <w:color w:val="auto"/>
          <w:lang w:val="zh-CN"/>
        </w:rPr>
      </w:pPr>
      <w:r>
        <w:rPr>
          <w:rFonts w:hint="eastAsia" w:ascii="Times New Roman" w:hAnsi="Times New Roman"/>
          <w:color w:val="auto"/>
        </w:rPr>
        <w:t>22</w:t>
      </w:r>
      <w:r>
        <w:rPr>
          <w:rFonts w:ascii="Times New Roman" w:hAnsi="Times New Roman"/>
          <w:color w:val="auto"/>
          <w:lang w:val="zh-CN"/>
        </w:rPr>
        <w:t>0kV</w:t>
      </w:r>
      <w:r>
        <w:rPr>
          <w:rFonts w:ascii="Times New Roman"/>
          <w:color w:val="auto"/>
          <w:lang w:val="zh-CN"/>
        </w:rPr>
        <w:t>各相导线对地电压分量为：</w:t>
      </w:r>
    </w:p>
    <w:p>
      <w:pPr>
        <w:autoSpaceDE w:val="0"/>
        <w:autoSpaceDN w:val="0"/>
        <w:adjustRightInd w:val="0"/>
        <w:spacing w:line="360" w:lineRule="auto"/>
        <w:ind w:firstLine="2835" w:firstLineChars="1350"/>
        <w:rPr>
          <w:rFonts w:ascii="Times New Roman" w:hAnsi="Times New Roman"/>
          <w:color w:val="auto"/>
          <w:lang w:val="zh-CN"/>
        </w:rPr>
      </w:pPr>
      <w:r>
        <w:rPr>
          <w:rFonts w:ascii="Times New Roman" w:hAnsi="Times New Roman"/>
          <w:color w:val="auto"/>
          <w:lang w:val="zh-CN"/>
        </w:rPr>
        <w:t>UA=</w:t>
      </w:r>
      <w:r>
        <w:rPr>
          <w:rFonts w:ascii="Times New Roman"/>
          <w:color w:val="auto"/>
          <w:lang w:val="zh-CN"/>
        </w:rPr>
        <w:t>（</w:t>
      </w:r>
      <w:r>
        <w:rPr>
          <w:rFonts w:hint="eastAsia" w:ascii="Times New Roman" w:hAnsi="Times New Roman"/>
          <w:color w:val="auto"/>
        </w:rPr>
        <w:t>133</w:t>
      </w:r>
      <w:r>
        <w:rPr>
          <w:rFonts w:ascii="Times New Roman" w:hAnsi="Times New Roman"/>
          <w:color w:val="auto"/>
        </w:rPr>
        <w:t>.</w:t>
      </w:r>
      <w:r>
        <w:rPr>
          <w:rFonts w:hint="eastAsia" w:ascii="Times New Roman" w:hAnsi="Times New Roman"/>
          <w:color w:val="auto"/>
        </w:rPr>
        <w:t>4</w:t>
      </w:r>
      <w:r>
        <w:rPr>
          <w:rFonts w:ascii="Times New Roman" w:hAnsi="Times New Roman"/>
          <w:color w:val="auto"/>
          <w:lang w:val="zh-CN"/>
        </w:rPr>
        <w:t>+j0</w:t>
      </w:r>
      <w:r>
        <w:rPr>
          <w:rFonts w:ascii="Times New Roman"/>
          <w:color w:val="auto"/>
          <w:lang w:val="zh-CN"/>
        </w:rPr>
        <w:t>）</w:t>
      </w:r>
      <w:r>
        <w:rPr>
          <w:rFonts w:ascii="Times New Roman" w:hAnsi="Times New Roman"/>
          <w:color w:val="auto"/>
          <w:lang w:val="zh-CN"/>
        </w:rPr>
        <w:t>kV</w:t>
      </w:r>
    </w:p>
    <w:p>
      <w:pPr>
        <w:autoSpaceDE w:val="0"/>
        <w:autoSpaceDN w:val="0"/>
        <w:adjustRightInd w:val="0"/>
        <w:spacing w:line="360" w:lineRule="auto"/>
        <w:ind w:firstLine="480"/>
        <w:rPr>
          <w:rFonts w:ascii="Times New Roman" w:hAnsi="Times New Roman"/>
          <w:color w:val="auto"/>
          <w:lang w:val="zh-CN"/>
        </w:rPr>
      </w:pPr>
      <w:r>
        <w:rPr>
          <w:rFonts w:ascii="Times New Roman" w:hAnsi="Times New Roman"/>
          <w:color w:val="auto"/>
          <w:lang w:val="zh-CN"/>
        </w:rPr>
        <w:t xml:space="preserve">                      UB=</w:t>
      </w:r>
      <w:r>
        <w:rPr>
          <w:rFonts w:ascii="Times New Roman"/>
          <w:color w:val="auto"/>
          <w:lang w:val="zh-CN"/>
        </w:rPr>
        <w:t>（</w:t>
      </w:r>
      <w:r>
        <w:rPr>
          <w:rFonts w:ascii="Times New Roman" w:hAnsi="Times New Roman"/>
          <w:color w:val="auto"/>
          <w:lang w:val="zh-CN"/>
        </w:rPr>
        <w:t>-</w:t>
      </w:r>
      <w:r>
        <w:rPr>
          <w:rFonts w:hint="eastAsia" w:ascii="Times New Roman" w:hAnsi="Times New Roman"/>
          <w:color w:val="auto"/>
        </w:rPr>
        <w:t>66</w:t>
      </w:r>
      <w:r>
        <w:rPr>
          <w:rFonts w:ascii="Times New Roman" w:hAnsi="Times New Roman"/>
          <w:color w:val="auto"/>
        </w:rPr>
        <w:t>.</w:t>
      </w:r>
      <w:r>
        <w:rPr>
          <w:rFonts w:hint="eastAsia" w:ascii="Times New Roman" w:hAnsi="Times New Roman"/>
          <w:color w:val="auto"/>
        </w:rPr>
        <w:t>7</w:t>
      </w:r>
      <w:r>
        <w:rPr>
          <w:rFonts w:ascii="Times New Roman" w:hAnsi="Times New Roman"/>
          <w:color w:val="auto"/>
          <w:lang w:val="zh-CN"/>
        </w:rPr>
        <w:t>+j</w:t>
      </w:r>
      <w:r>
        <w:rPr>
          <w:rFonts w:hint="eastAsia" w:ascii="Times New Roman" w:hAnsi="Times New Roman"/>
          <w:color w:val="auto"/>
        </w:rPr>
        <w:t>115</w:t>
      </w:r>
      <w:r>
        <w:rPr>
          <w:rFonts w:ascii="Times New Roman" w:hAnsi="Times New Roman"/>
          <w:color w:val="auto"/>
        </w:rPr>
        <w:t>.</w:t>
      </w:r>
      <w:r>
        <w:rPr>
          <w:rFonts w:hint="eastAsia" w:ascii="Times New Roman" w:hAnsi="Times New Roman"/>
          <w:color w:val="auto"/>
        </w:rPr>
        <w:t>5</w:t>
      </w:r>
      <w:r>
        <w:rPr>
          <w:rFonts w:ascii="Times New Roman"/>
          <w:color w:val="auto"/>
          <w:lang w:val="zh-CN"/>
        </w:rPr>
        <w:t>）</w:t>
      </w:r>
      <w:r>
        <w:rPr>
          <w:rFonts w:ascii="Times New Roman" w:hAnsi="Times New Roman"/>
          <w:color w:val="auto"/>
          <w:lang w:val="zh-CN"/>
        </w:rPr>
        <w:t>kV</w:t>
      </w:r>
    </w:p>
    <w:p>
      <w:pPr>
        <w:autoSpaceDE w:val="0"/>
        <w:autoSpaceDN w:val="0"/>
        <w:adjustRightInd w:val="0"/>
        <w:spacing w:line="360" w:lineRule="auto"/>
        <w:ind w:firstLine="480"/>
        <w:rPr>
          <w:rFonts w:ascii="Times New Roman" w:hAnsi="Times New Roman"/>
          <w:color w:val="auto"/>
          <w:kern w:val="0"/>
          <w:lang w:val="zh-CN"/>
        </w:rPr>
      </w:pPr>
      <w:r>
        <w:rPr>
          <w:rFonts w:ascii="Times New Roman" w:hAnsi="Times New Roman"/>
          <w:color w:val="auto"/>
          <w:lang w:val="zh-CN"/>
        </w:rPr>
        <w:t xml:space="preserve">                      U</w:t>
      </w:r>
      <w:r>
        <w:rPr>
          <w:rFonts w:hint="eastAsia" w:ascii="Times New Roman" w:hAnsi="Times New Roman"/>
          <w:color w:val="auto"/>
          <w:lang w:val="zh-CN"/>
        </w:rPr>
        <w:t>C</w:t>
      </w:r>
      <w:r>
        <w:rPr>
          <w:rFonts w:ascii="Times New Roman" w:hAnsi="Times New Roman"/>
          <w:color w:val="auto"/>
          <w:lang w:val="zh-CN"/>
        </w:rPr>
        <w:t>=</w:t>
      </w:r>
      <w:r>
        <w:rPr>
          <w:rFonts w:ascii="Times New Roman"/>
          <w:color w:val="auto"/>
          <w:lang w:val="zh-CN"/>
        </w:rPr>
        <w:t>（</w:t>
      </w:r>
      <w:r>
        <w:rPr>
          <w:rFonts w:ascii="Times New Roman" w:hAnsi="Times New Roman"/>
          <w:color w:val="auto"/>
          <w:lang w:val="zh-CN"/>
        </w:rPr>
        <w:t>-</w:t>
      </w:r>
      <w:r>
        <w:rPr>
          <w:rFonts w:hint="eastAsia" w:ascii="Times New Roman" w:hAnsi="Times New Roman"/>
          <w:color w:val="auto"/>
        </w:rPr>
        <w:t>66.7</w:t>
      </w:r>
      <w:r>
        <w:rPr>
          <w:rFonts w:ascii="Times New Roman" w:hAnsi="Times New Roman"/>
          <w:color w:val="auto"/>
          <w:lang w:val="zh-CN"/>
        </w:rPr>
        <w:t>-j</w:t>
      </w:r>
      <w:r>
        <w:rPr>
          <w:rFonts w:hint="eastAsia" w:ascii="Times New Roman" w:hAnsi="Times New Roman"/>
          <w:color w:val="auto"/>
        </w:rPr>
        <w:t>115.5</w:t>
      </w:r>
      <w:r>
        <w:rPr>
          <w:rFonts w:ascii="Times New Roman"/>
          <w:color w:val="auto"/>
          <w:lang w:val="zh-CN"/>
        </w:rPr>
        <w:t>）</w:t>
      </w:r>
      <w:r>
        <w:rPr>
          <w:rFonts w:ascii="Times New Roman" w:hAnsi="Times New Roman"/>
          <w:color w:val="auto"/>
          <w:lang w:val="zh-CN"/>
        </w:rPr>
        <w:t>kV</w:t>
      </w:r>
    </w:p>
    <w:p>
      <w:pPr>
        <w:autoSpaceDE w:val="0"/>
        <w:autoSpaceDN w:val="0"/>
        <w:adjustRightInd w:val="0"/>
        <w:spacing w:line="360" w:lineRule="auto"/>
        <w:ind w:firstLine="420" w:firstLineChars="200"/>
        <w:rPr>
          <w:rFonts w:ascii="Times New Roman" w:hAnsi="Times New Roman"/>
          <w:color w:val="auto"/>
          <w:lang w:val="zh-CN"/>
        </w:rPr>
      </w:pPr>
      <w:r>
        <w:rPr>
          <w:rFonts w:ascii="Times New Roman" w:hAnsi="Times New Roman"/>
          <w:color w:val="auto"/>
          <w:lang w:val="zh-CN"/>
        </w:rPr>
        <w:t xml:space="preserve"> [λ]矩阵由镜像原理求得。地面为电位等于零的平面，地面的感应电荷可由对应地面导线的镜像电荷代替，用i，j，…表示相互平行的实际导线，用i’，j’，…表示他们的镜像，电位系数可写为：</w:t>
      </w:r>
    </w:p>
    <w:p>
      <w:pPr>
        <w:autoSpaceDE w:val="0"/>
        <w:autoSpaceDN w:val="0"/>
        <w:adjustRightInd w:val="0"/>
        <w:spacing w:line="360" w:lineRule="auto"/>
        <w:ind w:firstLine="2640"/>
        <w:rPr>
          <w:rFonts w:ascii="Times New Roman" w:hAnsi="Times New Roman"/>
          <w:color w:val="auto"/>
          <w:sz w:val="24"/>
          <w:lang w:val="zh-CN"/>
        </w:rPr>
      </w:pPr>
      <w:r>
        <w:rPr>
          <w:rFonts w:ascii="Times New Roman" w:hAnsi="Times New Roman"/>
          <w:color w:val="auto"/>
          <w:kern w:val="0"/>
          <w:position w:val="-30"/>
          <w:sz w:val="20"/>
          <w:lang w:val="zh-CN"/>
        </w:rPr>
        <w:object>
          <v:shape id="_x0000_i1028" o:spt="75" type="#_x0000_t75" style="height:36.25pt;width:97.05pt;" o:ole="t" filled="f" o:preferrelative="t" stroked="f" coordsize="21600,21600">
            <v:path/>
            <v:fill on="f" focussize="0,0"/>
            <v:stroke on="f"/>
            <v:imagedata r:id="rId33" o:title=""/>
            <o:lock v:ext="edit" aspectratio="t"/>
            <w10:wrap type="none"/>
            <w10:anchorlock/>
          </v:shape>
          <o:OLEObject Type="Embed" ProgID="Equation.3" ShapeID="_x0000_i1028" DrawAspect="Content" ObjectID="_1468075728" r:id="rId32">
            <o:LockedField>false</o:LockedField>
          </o:OLEObject>
        </w:object>
      </w:r>
    </w:p>
    <w:p>
      <w:pPr>
        <w:autoSpaceDE w:val="0"/>
        <w:autoSpaceDN w:val="0"/>
        <w:adjustRightInd w:val="0"/>
        <w:spacing w:line="360" w:lineRule="auto"/>
        <w:ind w:firstLine="2640"/>
        <w:rPr>
          <w:rFonts w:ascii="Times New Roman" w:hAnsi="Times New Roman"/>
          <w:color w:val="auto"/>
          <w:sz w:val="24"/>
          <w:lang w:val="zh-CN"/>
        </w:rPr>
      </w:pPr>
      <w:r>
        <w:rPr>
          <w:rFonts w:ascii="Times New Roman" w:hAnsi="Times New Roman"/>
          <w:color w:val="auto"/>
          <w:kern w:val="0"/>
          <w:position w:val="-32"/>
          <w:sz w:val="20"/>
          <w:lang w:val="zh-CN"/>
        </w:rPr>
        <w:object>
          <v:shape id="_x0000_i1029" o:spt="75" type="#_x0000_t75" style="height:40.7pt;width:90.8pt;" o:ole="t" filled="f" o:preferrelative="t" stroked="f" coordsize="21600,21600">
            <v:path/>
            <v:fill on="f" focussize="0,0"/>
            <v:stroke on="f"/>
            <v:imagedata r:id="rId35" o:title=""/>
            <o:lock v:ext="edit" aspectratio="t"/>
            <w10:wrap type="none"/>
            <w10:anchorlock/>
          </v:shape>
          <o:OLEObject Type="Embed" ProgID="Equation.3" ShapeID="_x0000_i1029" DrawAspect="Content" ObjectID="_1468075729" r:id="rId34">
            <o:LockedField>false</o:LockedField>
          </o:OLEObject>
        </w:object>
      </w:r>
      <w:r>
        <w:rPr>
          <w:rFonts w:ascii="Times New Roman" w:hAnsi="Times New Roman"/>
          <w:color w:val="auto"/>
          <w:sz w:val="24"/>
          <w:lang w:val="zh-CN"/>
        </w:rPr>
        <w:t xml:space="preserve">  </w:t>
      </w:r>
    </w:p>
    <w:p>
      <w:pPr>
        <w:autoSpaceDE w:val="0"/>
        <w:autoSpaceDN w:val="0"/>
        <w:adjustRightInd w:val="0"/>
        <w:spacing w:line="360" w:lineRule="auto"/>
        <w:ind w:firstLine="2880"/>
        <w:rPr>
          <w:rFonts w:ascii="Times New Roman" w:hAnsi="Times New Roman"/>
          <w:color w:val="auto"/>
          <w:sz w:val="24"/>
          <w:vertAlign w:val="subscript"/>
          <w:lang w:val="zh-CN"/>
        </w:rPr>
      </w:pPr>
      <w:r>
        <w:rPr>
          <w:rFonts w:ascii="Times New Roman" w:hAnsi="Times New Roman"/>
          <w:color w:val="auto"/>
          <w:sz w:val="24"/>
          <w:lang w:val="zh-CN"/>
        </w:rPr>
        <w:t>λ</w:t>
      </w:r>
      <w:r>
        <w:rPr>
          <w:rFonts w:ascii="Times New Roman" w:hAnsi="Times New Roman"/>
          <w:color w:val="auto"/>
          <w:sz w:val="24"/>
          <w:vertAlign w:val="subscript"/>
          <w:lang w:val="zh-CN"/>
        </w:rPr>
        <w:t>i j</w:t>
      </w:r>
      <w:r>
        <w:rPr>
          <w:rFonts w:ascii="Times New Roman" w:hAnsi="Times New Roman"/>
          <w:color w:val="auto"/>
          <w:sz w:val="24"/>
          <w:lang w:val="zh-CN"/>
        </w:rPr>
        <w:t>= λ</w:t>
      </w:r>
      <w:r>
        <w:rPr>
          <w:rFonts w:ascii="Times New Roman" w:hAnsi="Times New Roman"/>
          <w:color w:val="auto"/>
          <w:sz w:val="24"/>
          <w:vertAlign w:val="subscript"/>
          <w:lang w:val="zh-CN"/>
        </w:rPr>
        <w:t>ji</w:t>
      </w:r>
    </w:p>
    <w:p>
      <w:pPr>
        <w:autoSpaceDE w:val="0"/>
        <w:autoSpaceDN w:val="0"/>
        <w:adjustRightInd w:val="0"/>
        <w:spacing w:line="360" w:lineRule="auto"/>
        <w:rPr>
          <w:rFonts w:ascii="Times New Roman" w:hAnsi="Times New Roman"/>
          <w:color w:val="auto"/>
          <w:lang w:val="zh-CN"/>
        </w:rPr>
      </w:pPr>
      <w:r>
        <w:rPr>
          <w:rFonts w:ascii="Times New Roman" w:hAnsi="Times New Roman"/>
          <w:color w:val="auto"/>
          <w:lang w:val="zh-CN"/>
        </w:rPr>
        <w:t>式中：</w:t>
      </w:r>
      <w:r>
        <w:rPr>
          <w:rFonts w:ascii="Times New Roman" w:hAnsi="Times New Roman"/>
          <w:color w:val="auto"/>
          <w:kern w:val="0"/>
          <w:position w:val="-10"/>
          <w:lang w:val="zh-CN"/>
        </w:rPr>
        <w:object>
          <v:shape id="_x0000_i1030" o:spt="75" type="#_x0000_t75" style="height:21.85pt;width:14.4pt;" o:ole="t" filled="f" o:preferrelative="t" stroked="f" coordsize="21600,21600">
            <v:path/>
            <v:fill on="f" focussize="0,0"/>
            <v:stroke on="f"/>
            <v:imagedata r:id="rId37" o:title=""/>
            <o:lock v:ext="edit" aspectratio="t"/>
            <w10:wrap type="none"/>
            <w10:anchorlock/>
          </v:shape>
          <o:OLEObject Type="Embed" ProgID="Equation.3" ShapeID="_x0000_i1030" DrawAspect="Content" ObjectID="_1468075730" r:id="rId36">
            <o:LockedField>false</o:LockedField>
          </o:OLEObject>
        </w:object>
      </w:r>
      <w:r>
        <w:rPr>
          <w:rFonts w:ascii="Times New Roman" w:hAnsi="Times New Roman"/>
          <w:color w:val="auto"/>
          <w:lang w:val="zh-CN"/>
        </w:rPr>
        <w:t>——空气的介电常数；</w:t>
      </w:r>
      <w:r>
        <w:rPr>
          <w:rFonts w:ascii="Times New Roman" w:hAnsi="Times New Roman"/>
          <w:color w:val="auto"/>
          <w:kern w:val="0"/>
          <w:position w:val="-24"/>
          <w:lang w:val="zh-CN"/>
        </w:rPr>
        <w:object>
          <v:shape id="_x0000_i1031" o:spt="75" type="#_x0000_t75" style="height:28.8pt;width:107.65pt;" o:ole="t" filled="f" o:preferrelative="t" stroked="f" coordsize="21600,21600">
            <v:path/>
            <v:fill on="f" focussize="0,0"/>
            <v:stroke on="f"/>
            <v:imagedata r:id="rId39" o:title=""/>
            <o:lock v:ext="edit" aspectratio="t"/>
            <w10:wrap type="none"/>
            <w10:anchorlock/>
          </v:shape>
          <o:OLEObject Type="Embed" ProgID="Equation.3" ShapeID="_x0000_i1031" DrawAspect="Content" ObjectID="_1468075731" r:id="rId38">
            <o:LockedField>false</o:LockedField>
          </o:OLEObject>
        </w:object>
      </w:r>
      <w:r>
        <w:rPr>
          <w:rFonts w:ascii="Times New Roman" w:hAnsi="Times New Roman"/>
          <w:color w:val="auto"/>
          <w:lang w:val="zh-CN"/>
        </w:rPr>
        <w:t>；</w:t>
      </w:r>
    </w:p>
    <w:p>
      <w:pPr>
        <w:autoSpaceDE w:val="0"/>
        <w:autoSpaceDN w:val="0"/>
        <w:adjustRightInd w:val="0"/>
        <w:spacing w:line="360" w:lineRule="auto"/>
        <w:ind w:firstLine="630" w:firstLineChars="300"/>
        <w:rPr>
          <w:rFonts w:ascii="Times New Roman" w:hAnsi="Times New Roman"/>
          <w:color w:val="auto"/>
          <w:lang w:val="zh-CN"/>
        </w:rPr>
      </w:pPr>
      <w:r>
        <w:rPr>
          <w:rFonts w:ascii="Times New Roman" w:hAnsi="Times New Roman"/>
          <w:color w:val="auto"/>
          <w:lang w:val="zh-CN"/>
        </w:rPr>
        <w:t>h</w:t>
      </w:r>
      <w:r>
        <w:rPr>
          <w:rFonts w:ascii="Times New Roman" w:hAnsi="Times New Roman"/>
          <w:color w:val="auto"/>
          <w:vertAlign w:val="subscript"/>
          <w:lang w:val="zh-CN"/>
        </w:rPr>
        <w:t>i</w:t>
      </w:r>
      <w:r>
        <w:rPr>
          <w:rFonts w:ascii="Times New Roman" w:hAnsi="Times New Roman"/>
          <w:color w:val="auto"/>
          <w:lang w:val="zh-CN"/>
        </w:rPr>
        <w:t>——导线与地面的距离；</w:t>
      </w:r>
    </w:p>
    <w:p>
      <w:pPr>
        <w:autoSpaceDE w:val="0"/>
        <w:autoSpaceDN w:val="0"/>
        <w:adjustRightInd w:val="0"/>
        <w:spacing w:line="360" w:lineRule="auto"/>
        <w:ind w:firstLine="630" w:firstLineChars="300"/>
        <w:rPr>
          <w:rFonts w:ascii="Times New Roman" w:hAnsi="Times New Roman"/>
          <w:color w:val="auto"/>
          <w:lang w:val="zh-CN"/>
        </w:rPr>
      </w:pPr>
      <w:r>
        <w:rPr>
          <w:rFonts w:ascii="Times New Roman" w:hAnsi="Times New Roman"/>
          <w:color w:val="auto"/>
          <w:lang w:val="zh-CN"/>
        </w:rPr>
        <w:t>L</w:t>
      </w:r>
      <w:r>
        <w:rPr>
          <w:rFonts w:ascii="Times New Roman" w:hAnsi="Times New Roman"/>
          <w:color w:val="auto"/>
          <w:vertAlign w:val="subscript"/>
          <w:lang w:val="zh-CN"/>
        </w:rPr>
        <w:t>ij</w:t>
      </w:r>
      <w:r>
        <w:rPr>
          <w:rFonts w:ascii="Times New Roman" w:hAnsi="Times New Roman"/>
          <w:color w:val="auto"/>
          <w:lang w:val="zh-CN"/>
        </w:rPr>
        <w:t>——第i根导线与第j根导线的间距；</w:t>
      </w:r>
    </w:p>
    <w:p>
      <w:pPr>
        <w:autoSpaceDE w:val="0"/>
        <w:autoSpaceDN w:val="0"/>
        <w:adjustRightInd w:val="0"/>
        <w:spacing w:line="360" w:lineRule="auto"/>
        <w:rPr>
          <w:rFonts w:ascii="Times New Roman" w:hAnsi="Times New Roman"/>
          <w:color w:val="auto"/>
          <w:lang w:val="zh-CN"/>
        </w:rPr>
      </w:pPr>
      <w:r>
        <w:rPr>
          <w:rFonts w:ascii="Times New Roman" w:hAnsi="Times New Roman"/>
          <w:color w:val="auto"/>
          <w:kern w:val="0"/>
          <w:lang w:val="zh-CN"/>
        </w:rPr>
        <w:t xml:space="preserve">     </w:t>
      </w:r>
      <w:r>
        <w:rPr>
          <w:rFonts w:ascii="Times New Roman" w:hAnsi="Times New Roman"/>
          <w:color w:val="auto"/>
          <w:kern w:val="0"/>
          <w:position w:val="-10"/>
          <w:lang w:val="zh-CN"/>
        </w:rPr>
        <w:object>
          <v:shape id="_x0000_i1032" o:spt="75" type="#_x0000_t75" style="height:21.85pt;width:14.4pt;" o:ole="t" filled="f" o:preferrelative="t" stroked="f" coordsize="21600,21600">
            <v:path/>
            <v:fill on="f" focussize="0,0"/>
            <v:stroke on="f"/>
            <v:imagedata r:id="rId41" o:title=""/>
            <o:lock v:ext="edit" aspectratio="t"/>
            <w10:wrap type="none"/>
            <w10:anchorlock/>
          </v:shape>
          <o:OLEObject Type="Embed" ProgID="Equation.3" ShapeID="_x0000_i1032" DrawAspect="Content" ObjectID="_1468075732" r:id="rId40">
            <o:LockedField>false</o:LockedField>
          </o:OLEObject>
        </w:object>
      </w:r>
      <w:r>
        <w:rPr>
          <w:rFonts w:ascii="Times New Roman" w:hAnsi="Times New Roman"/>
          <w:color w:val="auto"/>
          <w:lang w:val="zh-CN"/>
        </w:rPr>
        <w:t>——第i根导线与第j根导线的镜像导线的间距；</w:t>
      </w:r>
    </w:p>
    <w:p>
      <w:pPr>
        <w:autoSpaceDE w:val="0"/>
        <w:autoSpaceDN w:val="0"/>
        <w:adjustRightInd w:val="0"/>
        <w:spacing w:line="360" w:lineRule="auto"/>
        <w:ind w:firstLine="630" w:firstLineChars="300"/>
        <w:rPr>
          <w:rFonts w:ascii="Times New Roman" w:hAnsi="Times New Roman"/>
          <w:color w:val="auto"/>
          <w:lang w:val="zh-CN"/>
        </w:rPr>
      </w:pPr>
      <w:r>
        <w:rPr>
          <w:rFonts w:ascii="Times New Roman" w:hAnsi="Times New Roman"/>
          <w:color w:val="auto"/>
          <w:lang w:val="zh-CN"/>
        </w:rPr>
        <w:t>R</w:t>
      </w:r>
      <w:r>
        <w:rPr>
          <w:rFonts w:ascii="Times New Roman" w:hAnsi="Times New Roman"/>
          <w:color w:val="auto"/>
          <w:vertAlign w:val="subscript"/>
          <w:lang w:val="zh-CN"/>
        </w:rPr>
        <w:t>i</w:t>
      </w:r>
      <w:r>
        <w:rPr>
          <w:rFonts w:ascii="Times New Roman" w:hAnsi="Times New Roman"/>
          <w:color w:val="auto"/>
          <w:lang w:val="zh-CN"/>
        </w:rPr>
        <w:t>——输电导线半径，对于分裂导线可用等效单根导线半径带入R</w:t>
      </w:r>
      <w:r>
        <w:rPr>
          <w:rFonts w:ascii="Times New Roman" w:hAnsi="Times New Roman"/>
          <w:color w:val="auto"/>
          <w:vertAlign w:val="subscript"/>
          <w:lang w:val="zh-CN"/>
        </w:rPr>
        <w:t>i</w:t>
      </w:r>
      <w:r>
        <w:rPr>
          <w:rFonts w:ascii="Times New Roman" w:hAnsi="Times New Roman"/>
          <w:color w:val="auto"/>
          <w:lang w:val="zh-CN"/>
        </w:rPr>
        <w:t>计算式为：</w:t>
      </w:r>
    </w:p>
    <w:p>
      <w:pPr>
        <w:autoSpaceDE w:val="0"/>
        <w:autoSpaceDN w:val="0"/>
        <w:adjustRightInd w:val="0"/>
        <w:spacing w:line="360" w:lineRule="auto"/>
        <w:ind w:firstLine="600" w:firstLineChars="300"/>
        <w:jc w:val="center"/>
        <w:rPr>
          <w:rFonts w:ascii="Times New Roman" w:hAnsi="Times New Roman"/>
          <w:color w:val="auto"/>
          <w:kern w:val="0"/>
          <w:sz w:val="20"/>
          <w:lang w:val="zh-CN"/>
        </w:rPr>
      </w:pPr>
      <w:r>
        <w:rPr>
          <w:rFonts w:ascii="Times New Roman" w:hAnsi="Times New Roman"/>
          <w:color w:val="auto"/>
          <w:kern w:val="0"/>
          <w:position w:val="-26"/>
          <w:sz w:val="20"/>
          <w:lang w:val="zh-CN"/>
        </w:rPr>
        <w:object>
          <v:shape id="_x0000_i1033" o:spt="75" type="#_x0000_t75" style="height:35.7pt;width:57.6pt;" o:ole="t" filled="f" o:preferrelative="t" stroked="f" coordsize="21600,21600">
            <v:path/>
            <v:fill on="f" focussize="0,0"/>
            <v:stroke on="f"/>
            <v:imagedata r:id="rId43" o:title=""/>
            <o:lock v:ext="edit" aspectratio="t"/>
            <w10:wrap type="none"/>
            <w10:anchorlock/>
          </v:shape>
          <o:OLEObject Type="Embed" ProgID="Equation.3" ShapeID="_x0000_i1033" DrawAspect="Content" ObjectID="_1468075733" r:id="rId42">
            <o:LockedField>false</o:LockedField>
          </o:OLEObject>
        </w:object>
      </w:r>
    </w:p>
    <w:p>
      <w:pPr>
        <w:autoSpaceDE w:val="0"/>
        <w:autoSpaceDN w:val="0"/>
        <w:adjustRightInd w:val="0"/>
        <w:spacing w:line="360" w:lineRule="auto"/>
        <w:rPr>
          <w:rFonts w:ascii="Times New Roman" w:hAnsi="Times New Roman"/>
          <w:color w:val="auto"/>
          <w:lang w:val="zh-CN"/>
        </w:rPr>
      </w:pPr>
      <w:r>
        <w:rPr>
          <w:rFonts w:ascii="Times New Roman" w:hAnsi="Times New Roman"/>
          <w:color w:val="auto"/>
          <w:lang w:val="zh-CN"/>
        </w:rPr>
        <w:t>式中：R——分裂导线半径；</w:t>
      </w:r>
    </w:p>
    <w:p>
      <w:pPr>
        <w:autoSpaceDE w:val="0"/>
        <w:autoSpaceDN w:val="0"/>
        <w:adjustRightInd w:val="0"/>
        <w:spacing w:line="360" w:lineRule="auto"/>
        <w:rPr>
          <w:rFonts w:ascii="Times New Roman" w:hAnsi="Times New Roman"/>
          <w:color w:val="auto"/>
          <w:lang w:val="zh-CN"/>
        </w:rPr>
      </w:pPr>
      <w:r>
        <w:rPr>
          <w:rFonts w:ascii="Times New Roman" w:hAnsi="Times New Roman"/>
          <w:color w:val="auto"/>
          <w:lang w:val="zh-CN"/>
        </w:rPr>
        <w:t xml:space="preserve">      n——次导线根数；</w:t>
      </w:r>
    </w:p>
    <w:p>
      <w:pPr>
        <w:autoSpaceDE w:val="0"/>
        <w:autoSpaceDN w:val="0"/>
        <w:adjustRightInd w:val="0"/>
        <w:spacing w:line="360" w:lineRule="auto"/>
        <w:rPr>
          <w:rFonts w:ascii="Times New Roman" w:hAnsi="Times New Roman"/>
          <w:color w:val="auto"/>
          <w:lang w:val="zh-CN"/>
        </w:rPr>
      </w:pPr>
      <w:r>
        <w:rPr>
          <w:rFonts w:ascii="Times New Roman" w:hAnsi="Times New Roman"/>
          <w:color w:val="auto"/>
          <w:lang w:val="zh-CN"/>
        </w:rPr>
        <w:t xml:space="preserve">      r——次导线半径。</w:t>
      </w:r>
    </w:p>
    <w:tbl>
      <w:tblPr>
        <w:tblStyle w:val="50"/>
        <w:tblW w:w="8560" w:type="dxa"/>
        <w:jc w:val="center"/>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4264"/>
        <w:gridCol w:w="429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jc w:val="center"/>
        </w:trPr>
        <w:tc>
          <w:tcPr>
            <w:tcW w:w="4264" w:type="dxa"/>
            <w:tcBorders>
              <w:top w:val="single" w:color="FFFFFF" w:sz="4" w:space="0"/>
              <w:left w:val="single" w:color="FFFFFF" w:sz="4" w:space="0"/>
              <w:bottom w:val="single" w:color="FFFFFF" w:sz="4" w:space="0"/>
              <w:right w:val="single" w:color="FFFFFF" w:sz="4" w:space="0"/>
            </w:tcBorders>
            <w:vAlign w:val="center"/>
          </w:tcPr>
          <w:p>
            <w:pPr>
              <w:autoSpaceDE w:val="0"/>
              <w:autoSpaceDN w:val="0"/>
              <w:adjustRightInd w:val="0"/>
              <w:spacing w:line="360" w:lineRule="auto"/>
              <w:jc w:val="center"/>
              <w:rPr>
                <w:rFonts w:ascii="Times New Roman" w:hAnsi="Times New Roman"/>
                <w:color w:val="auto"/>
                <w:sz w:val="24"/>
                <w:lang w:val="zh-CN"/>
              </w:rPr>
            </w:pPr>
            <w:r>
              <w:rPr>
                <w:rFonts w:ascii="Times New Roman" w:hAnsi="Times New Roman"/>
                <w:color w:val="auto"/>
                <w:sz w:val="24"/>
              </w:rPr>
              <w:drawing>
                <wp:inline distT="0" distB="0" distL="114300" distR="114300">
                  <wp:extent cx="2341880" cy="2326640"/>
                  <wp:effectExtent l="0" t="0" r="1270" b="165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4"/>
                          <a:stretch>
                            <a:fillRect/>
                          </a:stretch>
                        </pic:blipFill>
                        <pic:spPr>
                          <a:xfrm>
                            <a:off x="0" y="0"/>
                            <a:ext cx="2341880" cy="2326640"/>
                          </a:xfrm>
                          <a:prstGeom prst="rect">
                            <a:avLst/>
                          </a:prstGeom>
                          <a:noFill/>
                          <a:ln>
                            <a:noFill/>
                          </a:ln>
                        </pic:spPr>
                      </pic:pic>
                    </a:graphicData>
                  </a:graphic>
                </wp:inline>
              </w:drawing>
            </w:r>
          </w:p>
          <w:p>
            <w:pPr>
              <w:autoSpaceDE w:val="0"/>
              <w:autoSpaceDN w:val="0"/>
              <w:adjustRightInd w:val="0"/>
              <w:spacing w:line="360" w:lineRule="auto"/>
              <w:jc w:val="center"/>
              <w:rPr>
                <w:rFonts w:ascii="Times New Roman" w:hAnsi="Times New Roman"/>
                <w:color w:val="auto"/>
                <w:lang w:val="zh-CN"/>
              </w:rPr>
            </w:pPr>
            <w:r>
              <w:rPr>
                <w:rFonts w:hint="eastAsia" w:ascii="Times New Roman" w:hAnsi="Times New Roman"/>
                <w:color w:val="auto"/>
                <w:lang w:val="zh-CN"/>
              </w:rPr>
              <w:t>电位系数计算图</w:t>
            </w:r>
          </w:p>
        </w:tc>
        <w:tc>
          <w:tcPr>
            <w:tcW w:w="4296" w:type="dxa"/>
            <w:tcBorders>
              <w:top w:val="single" w:color="FFFFFF" w:sz="4" w:space="0"/>
              <w:left w:val="single" w:color="FFFFFF" w:sz="4" w:space="0"/>
              <w:bottom w:val="single" w:color="FFFFFF" w:sz="4" w:space="0"/>
              <w:right w:val="single" w:color="FFFFFF" w:sz="4" w:space="0"/>
            </w:tcBorders>
            <w:vAlign w:val="center"/>
          </w:tcPr>
          <w:p>
            <w:pPr>
              <w:autoSpaceDE w:val="0"/>
              <w:autoSpaceDN w:val="0"/>
              <w:adjustRightInd w:val="0"/>
              <w:spacing w:line="360" w:lineRule="auto"/>
              <w:jc w:val="center"/>
              <w:rPr>
                <w:rFonts w:ascii="Times New Roman" w:hAnsi="Times New Roman"/>
                <w:color w:val="auto"/>
                <w:sz w:val="24"/>
                <w:lang w:val="zh-CN"/>
              </w:rPr>
            </w:pPr>
            <w:r>
              <w:rPr>
                <w:rFonts w:ascii="Times New Roman" w:hAnsi="Times New Roman"/>
                <w:color w:val="auto"/>
                <w:sz w:val="24"/>
              </w:rPr>
              <w:drawing>
                <wp:inline distT="0" distB="0" distL="114300" distR="114300">
                  <wp:extent cx="2388870" cy="2249805"/>
                  <wp:effectExtent l="0" t="0" r="11430" b="17145"/>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45"/>
                          <a:stretch>
                            <a:fillRect/>
                          </a:stretch>
                        </pic:blipFill>
                        <pic:spPr>
                          <a:xfrm>
                            <a:off x="0" y="0"/>
                            <a:ext cx="2388870" cy="2249805"/>
                          </a:xfrm>
                          <a:prstGeom prst="rect">
                            <a:avLst/>
                          </a:prstGeom>
                          <a:noFill/>
                          <a:ln>
                            <a:noFill/>
                          </a:ln>
                        </pic:spPr>
                      </pic:pic>
                    </a:graphicData>
                  </a:graphic>
                </wp:inline>
              </w:drawing>
            </w:r>
          </w:p>
          <w:p>
            <w:pPr>
              <w:autoSpaceDE w:val="0"/>
              <w:autoSpaceDN w:val="0"/>
              <w:adjustRightInd w:val="0"/>
              <w:spacing w:line="360" w:lineRule="auto"/>
              <w:jc w:val="center"/>
              <w:rPr>
                <w:rFonts w:ascii="Times New Roman" w:hAnsi="Times New Roman"/>
                <w:color w:val="auto"/>
                <w:lang w:val="zh-CN"/>
              </w:rPr>
            </w:pPr>
            <w:r>
              <w:rPr>
                <w:rFonts w:hint="eastAsia" w:ascii="Times New Roman" w:hAnsi="Times New Roman"/>
                <w:color w:val="auto"/>
                <w:lang w:val="zh-CN"/>
              </w:rPr>
              <w:t>等效半径计算图</w:t>
            </w:r>
          </w:p>
        </w:tc>
      </w:tr>
    </w:tbl>
    <w:p>
      <w:pPr>
        <w:autoSpaceDE w:val="0"/>
        <w:autoSpaceDN w:val="0"/>
        <w:adjustRightInd w:val="0"/>
        <w:spacing w:before="156" w:beforeLines="50" w:line="360" w:lineRule="auto"/>
        <w:ind w:firstLine="420" w:firstLineChars="200"/>
        <w:rPr>
          <w:rFonts w:ascii="Times New Roman" w:hAnsi="Times New Roman"/>
          <w:color w:val="auto"/>
          <w:lang w:val="zh-CN"/>
        </w:rPr>
      </w:pPr>
      <w:r>
        <w:rPr>
          <w:rFonts w:ascii="Times New Roman" w:hAnsi="Times New Roman"/>
          <w:color w:val="auto"/>
          <w:lang w:val="zh-CN"/>
        </w:rPr>
        <w:t>由[U]矩阵和[λ]，利用等效电荷矩阵方程即可求出[Q]矩阵。空间任意一点的电场强度可根据迭加原理计算得出，在(x，y)点的电场强度分量Ex和Ey可表示为：</w:t>
      </w:r>
    </w:p>
    <w:p>
      <w:pPr>
        <w:autoSpaceDE w:val="0"/>
        <w:autoSpaceDN w:val="0"/>
        <w:adjustRightInd w:val="0"/>
        <w:spacing w:line="360" w:lineRule="auto"/>
        <w:ind w:firstLine="1920"/>
        <w:rPr>
          <w:rFonts w:ascii="Times New Roman" w:hAnsi="Times New Roman"/>
          <w:color w:val="auto"/>
          <w:sz w:val="24"/>
          <w:lang w:val="zh-CN"/>
        </w:rPr>
      </w:pPr>
      <w:r>
        <w:rPr>
          <w:rFonts w:ascii="Times New Roman" w:hAnsi="Times New Roman"/>
          <w:color w:val="auto"/>
          <w:kern w:val="0"/>
          <w:sz w:val="20"/>
          <w:lang w:val="zh-CN"/>
        </w:rPr>
        <w:object>
          <v:shape id="_x0000_i1034" o:spt="75" type="#_x0000_t75" style="height:35.7pt;width:158.4pt;" o:ole="t" filled="f" o:preferrelative="t" stroked="f" coordsize="21600,21600">
            <v:path/>
            <v:fill on="f" focussize="0,0"/>
            <v:stroke on="f"/>
            <v:imagedata r:id="rId47" o:title=""/>
            <o:lock v:ext="edit" aspectratio="t"/>
            <w10:wrap type="none"/>
            <w10:anchorlock/>
          </v:shape>
          <o:OLEObject Type="Embed" ProgID="Equation.3" ShapeID="_x0000_i1034" DrawAspect="Content" ObjectID="_1468075734" r:id="rId46">
            <o:LockedField>false</o:LockedField>
          </o:OLEObject>
        </w:object>
      </w:r>
      <w:r>
        <w:rPr>
          <w:rFonts w:ascii="Times New Roman" w:hAnsi="Times New Roman"/>
          <w:color w:val="auto"/>
          <w:sz w:val="24"/>
          <w:lang w:val="zh-CN"/>
        </w:rPr>
        <w:t xml:space="preserve">         </w:t>
      </w:r>
    </w:p>
    <w:p>
      <w:pPr>
        <w:autoSpaceDE w:val="0"/>
        <w:autoSpaceDN w:val="0"/>
        <w:adjustRightInd w:val="0"/>
        <w:spacing w:line="360" w:lineRule="auto"/>
        <w:ind w:firstLine="1920"/>
        <w:rPr>
          <w:rFonts w:ascii="Times New Roman" w:hAnsi="Times New Roman"/>
          <w:color w:val="auto"/>
          <w:sz w:val="24"/>
          <w:lang w:val="zh-CN"/>
        </w:rPr>
      </w:pPr>
      <w:r>
        <w:rPr>
          <w:rFonts w:ascii="Times New Roman" w:hAnsi="Times New Roman"/>
          <w:color w:val="auto"/>
          <w:kern w:val="0"/>
          <w:position w:val="-32"/>
          <w:sz w:val="20"/>
          <w:lang w:val="zh-CN"/>
        </w:rPr>
        <w:object>
          <v:shape id="_x0000_i1035" o:spt="75" type="#_x0000_t75" style="height:36.3pt;width:201.7pt;" o:ole="t" filled="f" o:preferrelative="t" stroked="f" coordsize="21600,21600">
            <v:path/>
            <v:fill on="f" focussize="0,0"/>
            <v:stroke on="f"/>
            <v:imagedata r:id="rId49" o:title=""/>
            <o:lock v:ext="edit" aspectratio="t"/>
            <w10:wrap type="none"/>
            <w10:anchorlock/>
          </v:shape>
          <o:OLEObject Type="Embed" ProgID="Equation.3" ShapeID="_x0000_i1035" DrawAspect="Content" ObjectID="_1468075735" r:id="rId48">
            <o:LockedField>false</o:LockedField>
          </o:OLEObject>
        </w:object>
      </w:r>
    </w:p>
    <w:p>
      <w:pPr>
        <w:autoSpaceDE w:val="0"/>
        <w:autoSpaceDN w:val="0"/>
        <w:adjustRightInd w:val="0"/>
        <w:spacing w:line="360" w:lineRule="auto"/>
        <w:rPr>
          <w:rFonts w:ascii="Times New Roman" w:hAnsi="Times New Roman"/>
          <w:color w:val="auto"/>
          <w:lang w:val="zh-CN"/>
        </w:rPr>
      </w:pPr>
      <w:r>
        <w:rPr>
          <w:rFonts w:ascii="Times New Roman" w:hAnsi="Times New Roman"/>
          <w:color w:val="auto"/>
          <w:sz w:val="24"/>
          <w:lang w:val="zh-CN"/>
        </w:rPr>
        <w:t xml:space="preserve">  </w:t>
      </w:r>
      <w:r>
        <w:rPr>
          <w:rFonts w:ascii="Times New Roman" w:hAnsi="Times New Roman"/>
          <w:color w:val="auto"/>
          <w:lang w:val="zh-CN"/>
        </w:rPr>
        <w:t>式中：x</w:t>
      </w:r>
      <w:r>
        <w:rPr>
          <w:rFonts w:ascii="Times New Roman" w:hAnsi="Times New Roman"/>
          <w:color w:val="auto"/>
          <w:vertAlign w:val="subscript"/>
          <w:lang w:val="zh-CN"/>
        </w:rPr>
        <w:t>i</w:t>
      </w:r>
      <w:r>
        <w:rPr>
          <w:rFonts w:ascii="Times New Roman" w:hAnsi="Times New Roman"/>
          <w:color w:val="auto"/>
          <w:lang w:val="zh-CN"/>
        </w:rPr>
        <w:t>、y</w:t>
      </w:r>
      <w:r>
        <w:rPr>
          <w:rFonts w:ascii="Times New Roman" w:hAnsi="Times New Roman"/>
          <w:color w:val="auto"/>
          <w:vertAlign w:val="subscript"/>
          <w:lang w:val="zh-CN"/>
        </w:rPr>
        <w:t>i</w:t>
      </w:r>
      <w:r>
        <w:rPr>
          <w:rFonts w:ascii="Times New Roman" w:hAnsi="Times New Roman"/>
          <w:color w:val="auto"/>
          <w:lang w:val="zh-CN"/>
        </w:rPr>
        <w:t>——导线i的坐标(i=1、2、…m)；</w:t>
      </w:r>
    </w:p>
    <w:p>
      <w:pPr>
        <w:autoSpaceDE w:val="0"/>
        <w:autoSpaceDN w:val="0"/>
        <w:adjustRightInd w:val="0"/>
        <w:spacing w:line="360" w:lineRule="auto"/>
        <w:rPr>
          <w:rFonts w:ascii="Times New Roman" w:hAnsi="Times New Roman"/>
          <w:color w:val="auto"/>
          <w:lang w:val="zh-CN"/>
        </w:rPr>
      </w:pPr>
      <w:r>
        <w:rPr>
          <w:rFonts w:ascii="Times New Roman" w:hAnsi="Times New Roman"/>
          <w:color w:val="auto"/>
          <w:lang w:val="zh-CN"/>
        </w:rPr>
        <w:t xml:space="preserve">        m——导线数目；</w:t>
      </w:r>
    </w:p>
    <w:p>
      <w:pPr>
        <w:autoSpaceDE w:val="0"/>
        <w:autoSpaceDN w:val="0"/>
        <w:adjustRightInd w:val="0"/>
        <w:spacing w:line="360" w:lineRule="auto"/>
        <w:rPr>
          <w:rFonts w:ascii="Times New Roman" w:hAnsi="Times New Roman"/>
          <w:color w:val="auto"/>
          <w:lang w:val="zh-CN"/>
        </w:rPr>
      </w:pPr>
      <w:r>
        <w:rPr>
          <w:rFonts w:ascii="Times New Roman" w:hAnsi="Times New Roman"/>
          <w:color w:val="auto"/>
          <w:lang w:val="zh-CN"/>
        </w:rPr>
        <w:t xml:space="preserve">        </w:t>
      </w:r>
      <w:r>
        <w:rPr>
          <w:rFonts w:ascii="Times New Roman" w:hAnsi="Times New Roman"/>
          <w:color w:val="auto"/>
          <w:kern w:val="0"/>
          <w:lang w:val="zh-CN"/>
        </w:rPr>
        <w:object>
          <v:shape id="_x0000_i1036" o:spt="75" type="#_x0000_t75" style="height:21.75pt;width:14.4pt;" o:ole="t" filled="f" o:preferrelative="t" stroked="f" coordsize="21600,21600">
            <v:path/>
            <v:fill on="f" focussize="0,0"/>
            <v:stroke on="f"/>
            <v:imagedata r:id="rId51" o:title=""/>
            <o:lock v:ext="edit" aspectratio="t"/>
            <w10:wrap type="none"/>
            <w10:anchorlock/>
          </v:shape>
          <o:OLEObject Type="Embed" ProgID="Equation.3" ShapeID="_x0000_i1036" DrawAspect="Content" ObjectID="_1468075736" r:id="rId50">
            <o:LockedField>false</o:LockedField>
          </o:OLEObject>
        </w:object>
      </w:r>
      <w:r>
        <w:rPr>
          <w:rFonts w:ascii="Times New Roman" w:hAnsi="Times New Roman"/>
          <w:color w:val="auto"/>
          <w:lang w:val="zh-CN"/>
        </w:rPr>
        <w:t>和</w:t>
      </w:r>
      <w:r>
        <w:rPr>
          <w:rFonts w:ascii="Times New Roman" w:hAnsi="Times New Roman"/>
          <w:color w:val="auto"/>
          <w:kern w:val="0"/>
          <w:lang w:val="zh-CN"/>
        </w:rPr>
        <w:object>
          <v:shape id="_x0000_i1037" o:spt="75" type="#_x0000_t75" style="height:21.75pt;width:14.4pt;" o:ole="t" filled="f" o:preferrelative="t" stroked="f" coordsize="21600,21600">
            <v:path/>
            <v:fill on="f" focussize="0,0"/>
            <v:stroke on="f"/>
            <v:imagedata r:id="rId53" o:title=""/>
            <o:lock v:ext="edit" aspectratio="t"/>
            <w10:wrap type="none"/>
            <w10:anchorlock/>
          </v:shape>
          <o:OLEObject Type="Embed" ProgID="Equation.3" ShapeID="_x0000_i1037" DrawAspect="Content" ObjectID="_1468075737" r:id="rId52">
            <o:LockedField>false</o:LockedField>
          </o:OLEObject>
        </w:object>
      </w:r>
      <w:r>
        <w:rPr>
          <w:rFonts w:ascii="Times New Roman" w:hAnsi="Times New Roman"/>
          <w:color w:val="auto"/>
          <w:lang w:val="zh-CN"/>
        </w:rPr>
        <w:t>——分别为导线i及其镜像至计算点的距离。</w:t>
      </w:r>
    </w:p>
    <w:p>
      <w:pPr>
        <w:autoSpaceDE w:val="0"/>
        <w:autoSpaceDN w:val="0"/>
        <w:adjustRightInd w:val="0"/>
        <w:spacing w:line="360" w:lineRule="auto"/>
        <w:rPr>
          <w:rFonts w:ascii="Times New Roman" w:hAnsi="Times New Roman"/>
          <w:color w:val="auto"/>
          <w:lang w:val="zh-CN"/>
        </w:rPr>
      </w:pPr>
      <w:r>
        <w:rPr>
          <w:rFonts w:ascii="Times New Roman" w:hAnsi="Times New Roman"/>
          <w:color w:val="auto"/>
          <w:lang w:val="zh-CN"/>
        </w:rPr>
        <w:t xml:space="preserve">  对于三相交流线路，可根据求得的电荷计算空间任一点电场强度的水平和垂直分量</w:t>
      </w:r>
      <w:r>
        <w:rPr>
          <w:rFonts w:hint="eastAsia" w:ascii="Times New Roman" w:hAnsi="Times New Roman"/>
          <w:color w:val="auto"/>
          <w:lang w:val="zh-CN"/>
        </w:rPr>
        <w:t>为</w:t>
      </w:r>
      <w:r>
        <w:rPr>
          <w:rFonts w:ascii="Times New Roman" w:hAnsi="Times New Roman"/>
          <w:color w:val="auto"/>
          <w:lang w:val="zh-CN"/>
        </w:rPr>
        <w:t>：</w:t>
      </w:r>
    </w:p>
    <w:p>
      <w:pPr>
        <w:autoSpaceDE w:val="0"/>
        <w:autoSpaceDN w:val="0"/>
        <w:adjustRightInd w:val="0"/>
        <w:spacing w:line="360" w:lineRule="auto"/>
        <w:ind w:firstLine="1920"/>
        <w:rPr>
          <w:rFonts w:ascii="Times New Roman" w:hAnsi="Times New Roman"/>
          <w:color w:val="auto"/>
          <w:sz w:val="24"/>
          <w:lang w:val="zh-CN"/>
        </w:rPr>
      </w:pPr>
      <w:r>
        <w:rPr>
          <w:rFonts w:ascii="Times New Roman" w:hAnsi="Times New Roman"/>
          <w:color w:val="auto"/>
          <w:kern w:val="0"/>
          <w:position w:val="-28"/>
          <w:sz w:val="20"/>
          <w:lang w:val="zh-CN"/>
        </w:rPr>
        <w:object>
          <v:shape id="_x0000_i1038" o:spt="75" type="#_x0000_t75" style="height:33.2pt;width:198.55pt;" o:ole="t" filled="f" o:preferrelative="t" stroked="f" coordsize="21600,21600">
            <v:path/>
            <v:fill on="f" focussize="0,0"/>
            <v:stroke on="f"/>
            <v:imagedata r:id="rId55" o:title=""/>
            <o:lock v:ext="edit" aspectratio="t"/>
            <w10:wrap type="none"/>
            <w10:anchorlock/>
          </v:shape>
          <o:OLEObject Type="Embed" ProgID="Equation.3" ShapeID="_x0000_i1038" DrawAspect="Content" ObjectID="_1468075738" r:id="rId54">
            <o:LockedField>false</o:LockedField>
          </o:OLEObject>
        </w:object>
      </w:r>
    </w:p>
    <w:p>
      <w:pPr>
        <w:autoSpaceDE w:val="0"/>
        <w:autoSpaceDN w:val="0"/>
        <w:adjustRightInd w:val="0"/>
        <w:spacing w:line="360" w:lineRule="auto"/>
        <w:ind w:firstLine="1920"/>
        <w:rPr>
          <w:rFonts w:ascii="Times New Roman" w:hAnsi="Times New Roman"/>
          <w:color w:val="auto"/>
          <w:sz w:val="24"/>
          <w:lang w:val="zh-CN"/>
        </w:rPr>
      </w:pPr>
      <w:r>
        <w:rPr>
          <w:rFonts w:ascii="Times New Roman" w:hAnsi="Times New Roman"/>
          <w:color w:val="auto"/>
          <w:kern w:val="0"/>
          <w:position w:val="-28"/>
          <w:sz w:val="20"/>
          <w:lang w:val="zh-CN"/>
        </w:rPr>
        <w:object>
          <v:shape id="_x0000_i1039" o:spt="75" type="#_x0000_t75" style="height:33.2pt;width:197.2pt;" o:ole="t" filled="f" o:preferrelative="t" stroked="f" coordsize="21600,21600">
            <v:path/>
            <v:fill on="f" focussize="0,0"/>
            <v:stroke on="f"/>
            <v:imagedata r:id="rId57" o:title=""/>
            <o:lock v:ext="edit" aspectratio="t"/>
            <w10:wrap type="none"/>
            <w10:anchorlock/>
          </v:shape>
          <o:OLEObject Type="Embed" ProgID="Equation.3" ShapeID="_x0000_i1039" DrawAspect="Content" ObjectID="_1468075739" r:id="rId56">
            <o:LockedField>false</o:LockedField>
          </o:OLEObject>
        </w:object>
      </w:r>
    </w:p>
    <w:p>
      <w:pPr>
        <w:autoSpaceDE w:val="0"/>
        <w:autoSpaceDN w:val="0"/>
        <w:adjustRightInd w:val="0"/>
        <w:spacing w:line="360" w:lineRule="auto"/>
        <w:rPr>
          <w:rFonts w:ascii="Times New Roman" w:hAnsi="Times New Roman"/>
          <w:color w:val="auto"/>
          <w:lang w:val="zh-CN"/>
        </w:rPr>
      </w:pPr>
      <w:r>
        <w:rPr>
          <w:rFonts w:ascii="Times New Roman" w:hAnsi="Times New Roman"/>
          <w:color w:val="auto"/>
          <w:lang w:val="zh-CN"/>
        </w:rPr>
        <w:t>式中：E</w:t>
      </w:r>
      <w:r>
        <w:rPr>
          <w:rFonts w:ascii="Times New Roman" w:hAnsi="Times New Roman"/>
          <w:color w:val="auto"/>
          <w:vertAlign w:val="subscript"/>
          <w:lang w:val="zh-CN"/>
        </w:rPr>
        <w:t>xR</w:t>
      </w:r>
      <w:r>
        <w:rPr>
          <w:rFonts w:ascii="Times New Roman" w:hAnsi="Times New Roman"/>
          <w:color w:val="auto"/>
          <w:lang w:val="zh-CN"/>
        </w:rPr>
        <w:t>——由各导线的实部电荷在该点产生场强的水平分量；</w:t>
      </w:r>
    </w:p>
    <w:p>
      <w:pPr>
        <w:autoSpaceDE w:val="0"/>
        <w:autoSpaceDN w:val="0"/>
        <w:adjustRightInd w:val="0"/>
        <w:spacing w:line="360" w:lineRule="auto"/>
        <w:ind w:firstLine="720"/>
        <w:rPr>
          <w:rFonts w:ascii="Times New Roman" w:hAnsi="Times New Roman"/>
          <w:color w:val="auto"/>
          <w:lang w:val="zh-CN"/>
        </w:rPr>
      </w:pPr>
      <w:r>
        <w:rPr>
          <w:rFonts w:ascii="Times New Roman" w:hAnsi="Times New Roman"/>
          <w:color w:val="auto"/>
          <w:lang w:val="zh-CN"/>
        </w:rPr>
        <w:t>E</w:t>
      </w:r>
      <w:r>
        <w:rPr>
          <w:rFonts w:ascii="Times New Roman" w:hAnsi="Times New Roman"/>
          <w:color w:val="auto"/>
          <w:vertAlign w:val="subscript"/>
          <w:lang w:val="zh-CN"/>
        </w:rPr>
        <w:t>xI</w:t>
      </w:r>
      <w:r>
        <w:rPr>
          <w:rFonts w:ascii="Times New Roman" w:hAnsi="Times New Roman"/>
          <w:color w:val="auto"/>
          <w:lang w:val="zh-CN"/>
        </w:rPr>
        <w:t>——由各导线的虚部电荷在该点产生场强的水平分量；</w:t>
      </w:r>
    </w:p>
    <w:p>
      <w:pPr>
        <w:autoSpaceDE w:val="0"/>
        <w:autoSpaceDN w:val="0"/>
        <w:adjustRightInd w:val="0"/>
        <w:spacing w:line="360" w:lineRule="auto"/>
        <w:ind w:firstLine="720"/>
        <w:rPr>
          <w:rFonts w:ascii="Times New Roman" w:hAnsi="Times New Roman"/>
          <w:color w:val="auto"/>
          <w:lang w:val="zh-CN"/>
        </w:rPr>
      </w:pPr>
      <w:r>
        <w:rPr>
          <w:rFonts w:ascii="Times New Roman" w:hAnsi="Times New Roman"/>
          <w:color w:val="auto"/>
          <w:lang w:val="zh-CN"/>
        </w:rPr>
        <w:t>E</w:t>
      </w:r>
      <w:r>
        <w:rPr>
          <w:rFonts w:ascii="Times New Roman" w:hAnsi="Times New Roman"/>
          <w:color w:val="auto"/>
          <w:vertAlign w:val="subscript"/>
          <w:lang w:val="zh-CN"/>
        </w:rPr>
        <w:t>yR</w:t>
      </w:r>
      <w:r>
        <w:rPr>
          <w:rFonts w:ascii="Times New Roman" w:hAnsi="Times New Roman"/>
          <w:color w:val="auto"/>
          <w:lang w:val="zh-CN"/>
        </w:rPr>
        <w:t>——由各导线的实部电荷在该点产生场强的垂直分量；</w:t>
      </w:r>
    </w:p>
    <w:p>
      <w:pPr>
        <w:autoSpaceDE w:val="0"/>
        <w:autoSpaceDN w:val="0"/>
        <w:adjustRightInd w:val="0"/>
        <w:spacing w:line="360" w:lineRule="auto"/>
        <w:ind w:firstLine="720"/>
        <w:rPr>
          <w:rFonts w:ascii="Times New Roman" w:hAnsi="Times New Roman"/>
          <w:color w:val="auto"/>
          <w:lang w:val="zh-CN"/>
        </w:rPr>
      </w:pPr>
      <w:r>
        <w:rPr>
          <w:rFonts w:ascii="Times New Roman" w:hAnsi="Times New Roman"/>
          <w:color w:val="auto"/>
          <w:lang w:val="zh-CN"/>
        </w:rPr>
        <w:t>E</w:t>
      </w:r>
      <w:r>
        <w:rPr>
          <w:rFonts w:ascii="Times New Roman" w:hAnsi="Times New Roman"/>
          <w:color w:val="auto"/>
          <w:vertAlign w:val="subscript"/>
          <w:lang w:val="zh-CN"/>
        </w:rPr>
        <w:t>yI</w:t>
      </w:r>
      <w:r>
        <w:rPr>
          <w:rFonts w:ascii="Times New Roman" w:hAnsi="Times New Roman"/>
          <w:color w:val="auto"/>
          <w:lang w:val="zh-CN"/>
        </w:rPr>
        <w:t>——由各导线的虚部电荷在该点产生场强的垂直分量。</w:t>
      </w:r>
    </w:p>
    <w:p>
      <w:pPr>
        <w:autoSpaceDE w:val="0"/>
        <w:autoSpaceDN w:val="0"/>
        <w:adjustRightInd w:val="0"/>
        <w:spacing w:line="360" w:lineRule="auto"/>
        <w:ind w:firstLine="480"/>
        <w:rPr>
          <w:rFonts w:ascii="Times New Roman" w:hAnsi="Times New Roman"/>
          <w:color w:val="auto"/>
          <w:sz w:val="24"/>
          <w:lang w:val="zh-CN"/>
        </w:rPr>
      </w:pPr>
      <w:r>
        <w:rPr>
          <w:rFonts w:ascii="Times New Roman" w:hAnsi="Times New Roman"/>
          <w:color w:val="auto"/>
          <w:lang w:val="zh-CN"/>
        </w:rPr>
        <w:t>该点的合成场为：</w:t>
      </w:r>
    </w:p>
    <w:p>
      <w:pPr>
        <w:autoSpaceDE w:val="0"/>
        <w:autoSpaceDN w:val="0"/>
        <w:adjustRightInd w:val="0"/>
        <w:spacing w:line="360" w:lineRule="auto"/>
        <w:ind w:firstLine="960"/>
        <w:rPr>
          <w:rFonts w:ascii="Times New Roman" w:hAnsi="Times New Roman"/>
          <w:color w:val="auto"/>
          <w:sz w:val="24"/>
          <w:lang w:val="zh-CN"/>
        </w:rPr>
      </w:pPr>
      <w:r>
        <w:rPr>
          <w:rFonts w:ascii="Times New Roman" w:hAnsi="Times New Roman"/>
          <w:color w:val="auto"/>
          <w:kern w:val="0"/>
          <w:position w:val="-12"/>
          <w:sz w:val="20"/>
          <w:lang w:val="zh-CN"/>
        </w:rPr>
        <w:object>
          <v:shape id="_x0000_i1040" o:spt="75" type="#_x0000_t75" style="height:22.55pt;width:252.25pt;" o:ole="t" filled="f" o:preferrelative="t" stroked="f" coordsize="21600,21600">
            <v:path/>
            <v:fill on="f" focussize="0,0"/>
            <v:stroke on="f"/>
            <v:imagedata r:id="rId59" o:title=""/>
            <o:lock v:ext="edit" aspectratio="t"/>
            <w10:wrap type="none"/>
            <w10:anchorlock/>
          </v:shape>
          <o:OLEObject Type="Embed" ProgID="Equation.3" ShapeID="_x0000_i1040" DrawAspect="Content" ObjectID="_1468075740" r:id="rId58">
            <o:LockedField>false</o:LockedField>
          </o:OLEObject>
        </w:object>
      </w:r>
    </w:p>
    <w:p>
      <w:pPr>
        <w:autoSpaceDE w:val="0"/>
        <w:autoSpaceDN w:val="0"/>
        <w:adjustRightInd w:val="0"/>
        <w:spacing w:line="360" w:lineRule="auto"/>
        <w:rPr>
          <w:rFonts w:ascii="Times New Roman" w:hAnsi="Times New Roman"/>
          <w:color w:val="auto"/>
          <w:lang w:val="zh-CN"/>
        </w:rPr>
      </w:pPr>
      <w:r>
        <w:rPr>
          <w:rFonts w:hint="eastAsia" w:ascii="Times New Roman" w:hAnsi="Times New Roman"/>
          <w:color w:val="auto"/>
          <w:lang w:val="zh-CN"/>
        </w:rPr>
        <w:t>式中：</w:t>
      </w:r>
    </w:p>
    <w:p>
      <w:pPr>
        <w:autoSpaceDE w:val="0"/>
        <w:autoSpaceDN w:val="0"/>
        <w:adjustRightInd w:val="0"/>
        <w:spacing w:line="360" w:lineRule="auto"/>
        <w:ind w:firstLine="2160"/>
        <w:rPr>
          <w:rFonts w:ascii="Times New Roman" w:hAnsi="Times New Roman"/>
          <w:color w:val="auto"/>
          <w:sz w:val="24"/>
          <w:lang w:val="zh-CN"/>
        </w:rPr>
      </w:pPr>
      <w:r>
        <w:rPr>
          <w:rFonts w:ascii="Times New Roman" w:hAnsi="Times New Roman"/>
          <w:color w:val="auto"/>
          <w:kern w:val="0"/>
          <w:sz w:val="20"/>
          <w:lang w:val="zh-CN"/>
        </w:rPr>
        <w:object>
          <v:shape id="_x0000_i1041" o:spt="75" type="#_x0000_t75" style="height:21.9pt;width:86.4pt;" o:ole="t" filled="f" o:preferrelative="t" stroked="f" coordsize="21600,21600">
            <v:path/>
            <v:fill on="f" focussize="0,0"/>
            <v:stroke on="f"/>
            <v:imagedata r:id="rId61" o:title=""/>
            <o:lock v:ext="edit" aspectratio="t"/>
            <w10:wrap type="none"/>
            <w10:anchorlock/>
          </v:shape>
          <o:OLEObject Type="Embed" ProgID="Equation.3" ShapeID="_x0000_i1041" DrawAspect="Content" ObjectID="_1468075741" r:id="rId60">
            <o:LockedField>false</o:LockedField>
          </o:OLEObject>
        </w:object>
      </w:r>
    </w:p>
    <w:p>
      <w:pPr>
        <w:autoSpaceDE w:val="0"/>
        <w:autoSpaceDN w:val="0"/>
        <w:adjustRightInd w:val="0"/>
        <w:spacing w:line="360" w:lineRule="auto"/>
        <w:ind w:firstLine="2160"/>
        <w:rPr>
          <w:rFonts w:ascii="Times New Roman" w:hAnsi="Times New Roman"/>
          <w:color w:val="auto"/>
          <w:sz w:val="24"/>
          <w:lang w:val="zh-CN"/>
        </w:rPr>
      </w:pPr>
      <w:r>
        <w:rPr>
          <w:rFonts w:ascii="Times New Roman" w:hAnsi="Times New Roman"/>
          <w:color w:val="auto"/>
          <w:kern w:val="0"/>
          <w:sz w:val="20"/>
          <w:lang w:val="zh-CN"/>
        </w:rPr>
        <w:object>
          <v:shape id="_x0000_i1042" o:spt="75" type="#_x0000_t75" style="height:21.9pt;width:86.4pt;" o:ole="t" filled="f" o:preferrelative="t" stroked="f" coordsize="21600,21600">
            <v:path/>
            <v:fill on="f" focussize="0,0"/>
            <v:stroke on="f"/>
            <v:imagedata r:id="rId63" o:title=""/>
            <o:lock v:ext="edit" aspectratio="t"/>
            <w10:wrap type="none"/>
            <w10:anchorlock/>
          </v:shape>
          <o:OLEObject Type="Embed" ProgID="Equation.3" ShapeID="_x0000_i1042" DrawAspect="Content" ObjectID="_1468075742" r:id="rId62">
            <o:LockedField>false</o:LockedField>
          </o:OLEObject>
        </w:object>
      </w:r>
    </w:p>
    <w:p>
      <w:pPr>
        <w:autoSpaceDE w:val="0"/>
        <w:autoSpaceDN w:val="0"/>
        <w:adjustRightInd w:val="0"/>
        <w:spacing w:line="360" w:lineRule="auto"/>
        <w:ind w:firstLine="480"/>
        <w:rPr>
          <w:rFonts w:ascii="Times New Roman" w:hAnsi="Times New Roman"/>
          <w:b/>
          <w:color w:val="auto"/>
          <w:lang w:val="zh-CN"/>
        </w:rPr>
      </w:pPr>
      <w:r>
        <w:rPr>
          <w:rFonts w:ascii="Times New Roman" w:hAnsi="Times New Roman"/>
          <w:b/>
          <w:color w:val="auto"/>
          <w:kern w:val="0"/>
        </w:rPr>
        <w:t>b.工频磁感应强度预测</w:t>
      </w:r>
    </w:p>
    <w:p>
      <w:pPr>
        <w:autoSpaceDE w:val="0"/>
        <w:autoSpaceDN w:val="0"/>
        <w:adjustRightInd w:val="0"/>
        <w:spacing w:line="360" w:lineRule="auto"/>
        <w:ind w:firstLine="480"/>
        <w:rPr>
          <w:rFonts w:ascii="Times New Roman" w:hAnsi="Times New Roman"/>
          <w:color w:val="auto"/>
          <w:sz w:val="24"/>
          <w:szCs w:val="24"/>
          <w:lang w:val="zh-CN"/>
        </w:rPr>
      </w:pPr>
      <w:r>
        <w:rPr>
          <w:rFonts w:hint="eastAsia" w:ascii="Times New Roman" w:hAnsi="Times New Roman"/>
          <w:color w:val="auto"/>
          <w:lang w:val="zh-CN"/>
        </w:rPr>
        <w:t>由于工频情况下电磁场具有准静态性，线路的磁场仅由电流产生，输电线路在空间任一点产生的工频磁感应强度可根据安培定律，按照矢量迭加原理计算得出。输电导线在空间任一点产生的工频磁感应强度计算公式为：</w:t>
      </w:r>
      <w:r>
        <w:rPr>
          <w:rFonts w:ascii="Times New Roman" w:hAnsi="Times New Roman"/>
          <w:color w:val="auto"/>
          <w:sz w:val="24"/>
          <w:szCs w:val="24"/>
          <w:lang w:val="zh-CN"/>
        </w:rPr>
        <w:t xml:space="preserve"> </w:t>
      </w:r>
    </w:p>
    <w:p>
      <w:pPr>
        <w:autoSpaceDE w:val="0"/>
        <w:autoSpaceDN w:val="0"/>
        <w:adjustRightInd w:val="0"/>
        <w:spacing w:line="360" w:lineRule="auto"/>
        <w:ind w:firstLine="2160"/>
        <w:rPr>
          <w:rFonts w:ascii="Times New Roman" w:hAnsi="Times New Roman"/>
          <w:color w:val="auto"/>
          <w:sz w:val="24"/>
          <w:lang w:val="zh-CN"/>
        </w:rPr>
      </w:pPr>
      <w:r>
        <w:rPr>
          <w:rFonts w:ascii="Times New Roman" w:hAnsi="Times New Roman"/>
          <w:color w:val="auto"/>
          <w:kern w:val="0"/>
          <w:position w:val="-30"/>
          <w:sz w:val="20"/>
          <w:lang w:val="zh-CN"/>
        </w:rPr>
        <w:object>
          <v:shape id="_x0000_i1043" o:spt="75" type="#_x0000_t75" style="height:37.3pt;width:61.8pt;" o:ole="t" filled="f" o:preferrelative="t" stroked="f" coordsize="21600,21600">
            <v:path/>
            <v:fill on="f" focussize="0,0"/>
            <v:stroke on="f"/>
            <v:imagedata r:id="rId65" o:title=""/>
            <o:lock v:ext="edit" aspectratio="t"/>
            <w10:wrap type="none"/>
            <w10:anchorlock/>
          </v:shape>
          <o:OLEObject Type="Embed" ProgID="Equation.3" ShapeID="_x0000_i1043" DrawAspect="Content" ObjectID="_1468075743" r:id="rId64">
            <o:LockedField>false</o:LockedField>
          </o:OLEObject>
        </w:object>
      </w:r>
    </w:p>
    <w:p>
      <w:pPr>
        <w:autoSpaceDE w:val="0"/>
        <w:autoSpaceDN w:val="0"/>
        <w:adjustRightInd w:val="0"/>
        <w:spacing w:line="360" w:lineRule="auto"/>
        <w:rPr>
          <w:rFonts w:ascii="Times New Roman" w:hAnsi="Times New Roman"/>
          <w:color w:val="auto"/>
          <w:lang w:val="zh-CN"/>
        </w:rPr>
      </w:pPr>
      <w:r>
        <w:rPr>
          <w:rFonts w:ascii="Times New Roman" w:hAnsi="Times New Roman"/>
          <w:color w:val="auto"/>
          <w:lang w:val="zh-CN"/>
        </w:rPr>
        <w:t>式中：ρ——大地电阻率，Ω.m；</w:t>
      </w:r>
    </w:p>
    <w:p>
      <w:pPr>
        <w:autoSpaceDE w:val="0"/>
        <w:autoSpaceDN w:val="0"/>
        <w:adjustRightInd w:val="0"/>
        <w:spacing w:line="360" w:lineRule="auto"/>
        <w:ind w:firstLine="720"/>
        <w:rPr>
          <w:rFonts w:ascii="Times New Roman" w:hAnsi="Times New Roman"/>
          <w:color w:val="auto"/>
          <w:lang w:val="zh-CN"/>
        </w:rPr>
      </w:pPr>
      <w:r>
        <w:rPr>
          <w:rFonts w:ascii="Times New Roman" w:hAnsi="Times New Roman"/>
          <w:color w:val="auto"/>
          <w:lang w:val="zh-CN"/>
        </w:rPr>
        <w:t>F——频率，Hz。</w:t>
      </w:r>
    </w:p>
    <w:p>
      <w:pPr>
        <w:autoSpaceDE w:val="0"/>
        <w:autoSpaceDN w:val="0"/>
        <w:adjustRightInd w:val="0"/>
        <w:spacing w:line="360" w:lineRule="auto"/>
        <w:ind w:firstLine="420" w:firstLineChars="200"/>
        <w:rPr>
          <w:rFonts w:ascii="Times New Roman" w:hAnsi="Times New Roman"/>
          <w:color w:val="auto"/>
          <w:lang w:val="zh-CN"/>
        </w:rPr>
      </w:pPr>
      <w:r>
        <w:rPr>
          <w:rFonts w:ascii="Times New Roman" w:hAnsi="Times New Roman"/>
          <w:color w:val="auto"/>
          <w:lang w:val="zh-CN"/>
        </w:rPr>
        <w:t>在很多情况下，只考虑处于空间的实际导线，忽略它的镜像进行计算，其结果已足够符合实际。如图所示，不考虑导线i的镜像时，可计算在A点其产生的磁场强度：</w:t>
      </w:r>
    </w:p>
    <w:p>
      <w:pPr>
        <w:autoSpaceDE w:val="0"/>
        <w:autoSpaceDN w:val="0"/>
        <w:adjustRightInd w:val="0"/>
        <w:spacing w:line="360" w:lineRule="auto"/>
        <w:ind w:firstLine="400" w:firstLineChars="200"/>
        <w:rPr>
          <w:rFonts w:ascii="Times New Roman" w:hAnsi="Times New Roman"/>
          <w:color w:val="auto"/>
          <w:lang w:val="zh-CN"/>
        </w:rPr>
      </w:pPr>
      <w:r>
        <w:rPr>
          <w:rFonts w:ascii="Times New Roman" w:hAnsi="Times New Roman"/>
          <w:color w:val="auto"/>
          <w:kern w:val="0"/>
          <w:position w:val="-32"/>
          <w:sz w:val="20"/>
          <w:lang w:val="zh-CN"/>
        </w:rPr>
        <w:object>
          <v:shape id="_x0000_i1044" o:spt="75" type="#_x0000_t75" style="height:36.3pt;width:93.95pt;" o:ole="t" filled="f" o:preferrelative="t" stroked="f" coordsize="21600,21600">
            <v:path/>
            <v:fill on="f" focussize="0,0"/>
            <v:stroke on="f"/>
            <v:imagedata r:id="rId67" o:title=""/>
            <o:lock v:ext="edit" aspectratio="t"/>
            <w10:wrap type="none"/>
            <w10:anchorlock/>
          </v:shape>
          <o:OLEObject Type="Embed" ProgID="Equation.3" ShapeID="_x0000_i1044" DrawAspect="Content" ObjectID="_1468075744" r:id="rId66">
            <o:LockedField>false</o:LockedField>
          </o:OLEObject>
        </w:object>
      </w:r>
    </w:p>
    <w:p>
      <w:pPr>
        <w:autoSpaceDE w:val="0"/>
        <w:autoSpaceDN w:val="0"/>
        <w:adjustRightInd w:val="0"/>
        <w:spacing w:line="360" w:lineRule="auto"/>
        <w:ind w:firstLine="420" w:firstLineChars="200"/>
        <w:rPr>
          <w:rFonts w:ascii="Times New Roman" w:hAnsi="Times New Roman"/>
          <w:color w:val="auto"/>
          <w:lang w:val="zh-CN"/>
        </w:rPr>
      </w:pPr>
      <w:r>
        <w:rPr>
          <w:rFonts w:ascii="Times New Roman" w:hAnsi="Times New Roman"/>
          <w:color w:val="auto"/>
          <w:lang w:val="zh-CN"/>
        </w:rPr>
        <w:t>式中：I——导线i中电流值，A；</w:t>
      </w:r>
    </w:p>
    <w:p>
      <w:pPr>
        <w:autoSpaceDE w:val="0"/>
        <w:autoSpaceDN w:val="0"/>
        <w:adjustRightInd w:val="0"/>
        <w:spacing w:line="360" w:lineRule="auto"/>
        <w:ind w:firstLine="420" w:firstLineChars="200"/>
        <w:rPr>
          <w:rFonts w:ascii="Times New Roman" w:hAnsi="Times New Roman"/>
          <w:color w:val="auto"/>
          <w:lang w:val="zh-CN"/>
        </w:rPr>
      </w:pPr>
      <w:r>
        <w:rPr>
          <w:rFonts w:ascii="Times New Roman" w:hAnsi="Times New Roman"/>
          <w:color w:val="auto"/>
          <w:lang w:val="zh-CN"/>
        </w:rPr>
        <w:t xml:space="preserve">      h——导线与预测点的高差；</w:t>
      </w:r>
    </w:p>
    <w:p>
      <w:pPr>
        <w:autoSpaceDE w:val="0"/>
        <w:autoSpaceDN w:val="0"/>
        <w:adjustRightInd w:val="0"/>
        <w:spacing w:line="360" w:lineRule="auto"/>
        <w:ind w:firstLine="420" w:firstLineChars="200"/>
        <w:rPr>
          <w:rFonts w:hint="eastAsia" w:ascii="Times New Roman" w:hAnsi="Times New Roman"/>
          <w:color w:val="auto"/>
          <w:lang w:val="zh-CN"/>
        </w:rPr>
      </w:pPr>
      <w:r>
        <w:rPr>
          <w:rFonts w:ascii="Times New Roman" w:hAnsi="Times New Roman"/>
          <w:color w:val="auto"/>
          <w:lang w:val="zh-CN"/>
        </w:rPr>
        <w:t xml:space="preserve">      L——导线与预测点水平距离，m。</w:t>
      </w:r>
    </w:p>
    <w:p>
      <w:pPr>
        <w:autoSpaceDE w:val="0"/>
        <w:autoSpaceDN w:val="0"/>
        <w:adjustRightInd w:val="0"/>
        <w:spacing w:line="360" w:lineRule="auto"/>
        <w:ind w:firstLine="420" w:firstLineChars="200"/>
        <w:rPr>
          <w:rFonts w:ascii="Times New Roman" w:hAnsi="Times New Roman"/>
          <w:color w:val="auto"/>
          <w:lang w:val="zh-CN"/>
        </w:rPr>
      </w:pPr>
      <w:r>
        <w:rPr>
          <w:rFonts w:ascii="Times New Roman" w:hAnsi="Times New Roman"/>
          <w:color w:val="auto"/>
          <w:lang w:val="zh-CN"/>
        </w:rPr>
        <w:t>对于三相线路，由相位不同形成的磁场强度水平和垂直分量都必须分别考虑电流间的相角，按相位矢量来合成。一般来说合成矢量对时间段轨迹是一个椭圆。</w:t>
      </w:r>
    </w:p>
    <w:p>
      <w:pPr>
        <w:autoSpaceDE w:val="0"/>
        <w:autoSpaceDN w:val="0"/>
        <w:adjustRightInd w:val="0"/>
        <w:jc w:val="center"/>
        <w:rPr>
          <w:rFonts w:ascii="Times New Roman" w:hAnsi="Times New Roman"/>
          <w:color w:val="auto"/>
          <w:sz w:val="24"/>
          <w:szCs w:val="24"/>
          <w:lang w:val="zh-CN"/>
        </w:rPr>
      </w:pPr>
      <w:r>
        <w:rPr>
          <w:rFonts w:ascii="Times New Roman" w:hAnsi="Times New Roman"/>
          <w:color w:val="auto"/>
          <w:sz w:val="24"/>
          <w:szCs w:val="24"/>
        </w:rPr>
        <w:drawing>
          <wp:inline distT="0" distB="0" distL="114300" distR="114300">
            <wp:extent cx="5321300" cy="2185035"/>
            <wp:effectExtent l="0" t="0" r="12700" b="5715"/>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68"/>
                    <a:srcRect/>
                    <a:stretch>
                      <a:fillRect/>
                    </a:stretch>
                  </pic:blipFill>
                  <pic:spPr>
                    <a:xfrm>
                      <a:off x="0" y="0"/>
                      <a:ext cx="5321300" cy="2185035"/>
                    </a:xfrm>
                    <a:prstGeom prst="rect">
                      <a:avLst/>
                    </a:prstGeom>
                    <a:noFill/>
                    <a:ln>
                      <a:noFill/>
                    </a:ln>
                  </pic:spPr>
                </pic:pic>
              </a:graphicData>
            </a:graphic>
          </wp:inline>
        </w:drawing>
      </w:r>
    </w:p>
    <w:p>
      <w:pPr>
        <w:autoSpaceDE w:val="0"/>
        <w:autoSpaceDN w:val="0"/>
        <w:adjustRightInd w:val="0"/>
        <w:jc w:val="center"/>
        <w:rPr>
          <w:rFonts w:ascii="Times New Roman" w:hAnsi="Times New Roman"/>
          <w:color w:val="auto"/>
          <w:lang w:val="zh-CN"/>
        </w:rPr>
      </w:pPr>
      <w:r>
        <w:rPr>
          <w:rFonts w:hint="eastAsia" w:ascii="Times New Roman" w:hAnsi="Times New Roman"/>
          <w:color w:val="auto"/>
          <w:lang w:val="zh-CN"/>
        </w:rPr>
        <w:t>磁场向量图</w:t>
      </w:r>
    </w:p>
    <w:p>
      <w:pPr>
        <w:spacing w:line="360" w:lineRule="auto"/>
        <w:ind w:firstLine="435"/>
        <w:rPr>
          <w:rFonts w:hint="eastAsia" w:ascii="Times New Roman" w:hAnsi="Times New Roman"/>
          <w:color w:val="auto"/>
          <w:lang w:val="zh-CN"/>
        </w:rPr>
      </w:pPr>
      <w:r>
        <w:rPr>
          <w:rFonts w:hint="eastAsia" w:ascii="Times New Roman" w:hAnsi="Times New Roman"/>
          <w:color w:val="auto"/>
          <w:lang w:val="zh-CN"/>
        </w:rPr>
        <w:t>对于三相线路，由于相位不同形成的磁感应强度水平和垂直分量都必须分别考虑电流间的相角，按相位矢量合成。</w:t>
      </w:r>
    </w:p>
    <w:p>
      <w:pPr>
        <w:spacing w:line="360" w:lineRule="auto"/>
        <w:ind w:firstLine="420" w:firstLineChars="200"/>
        <w:rPr>
          <w:rFonts w:hint="eastAsia" w:ascii="Times New Roman" w:hAnsi="Times New Roman"/>
          <w:color w:val="auto"/>
        </w:rPr>
      </w:pPr>
      <w:r>
        <w:rPr>
          <w:rFonts w:ascii="Times New Roman" w:hAnsi="Times New Roman"/>
          <w:color w:val="auto"/>
        </w:rPr>
        <w:t>（2）计算参数</w:t>
      </w:r>
    </w:p>
    <w:p>
      <w:pPr>
        <w:spacing w:line="360" w:lineRule="auto"/>
        <w:ind w:firstLine="420" w:firstLineChars="200"/>
        <w:rPr>
          <w:rFonts w:hint="eastAsia" w:ascii="Times New Roman" w:hAnsi="Times New Roman"/>
          <w:color w:val="auto"/>
        </w:rPr>
      </w:pPr>
      <w:r>
        <w:rPr>
          <w:rFonts w:ascii="Times New Roman" w:hAnsi="Times New Roman"/>
          <w:color w:val="auto"/>
        </w:rPr>
        <w:t>本工程</w:t>
      </w:r>
      <w:r>
        <w:rPr>
          <w:rFonts w:hint="eastAsia" w:ascii="Times New Roman" w:hAnsi="Times New Roman"/>
          <w:color w:val="auto"/>
        </w:rPr>
        <w:t>22</w:t>
      </w:r>
      <w:r>
        <w:rPr>
          <w:rFonts w:ascii="Times New Roman" w:hAnsi="Times New Roman"/>
          <w:color w:val="auto"/>
        </w:rPr>
        <w:t>0kV输电线路导线的有关参数详见下表所示。</w:t>
      </w:r>
    </w:p>
    <w:p>
      <w:pPr>
        <w:jc w:val="center"/>
        <w:rPr>
          <w:rFonts w:ascii="Times New Roman" w:hAnsi="Times New Roman"/>
          <w:b/>
          <w:bCs/>
          <w:color w:val="auto"/>
        </w:rPr>
      </w:pPr>
      <w:r>
        <w:rPr>
          <w:rFonts w:ascii="Times New Roman" w:hAnsi="Times New Roman"/>
          <w:b/>
          <w:bCs/>
          <w:color w:val="auto"/>
        </w:rPr>
        <w:t>表</w:t>
      </w:r>
      <w:r>
        <w:rPr>
          <w:rFonts w:hint="eastAsia" w:ascii="Times New Roman" w:hAnsi="Times New Roman"/>
          <w:b/>
          <w:bCs/>
          <w:color w:val="auto"/>
        </w:rPr>
        <w:t>3-3 22</w:t>
      </w:r>
      <w:r>
        <w:rPr>
          <w:rFonts w:ascii="Times New Roman" w:hAnsi="Times New Roman"/>
          <w:b/>
          <w:bCs/>
          <w:color w:val="auto"/>
        </w:rPr>
        <w:t>0kV输电线路导线及参数一览表</w:t>
      </w:r>
    </w:p>
    <w:tbl>
      <w:tblPr>
        <w:tblStyle w:val="50"/>
        <w:tblW w:w="8747" w:type="dxa"/>
        <w:jc w:val="center"/>
        <w:tblInd w:w="12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0"/>
        <w:gridCol w:w="5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20" w:type="dxa"/>
            <w:vAlign w:val="top"/>
          </w:tcPr>
          <w:p>
            <w:pPr>
              <w:jc w:val="center"/>
              <w:rPr>
                <w:rFonts w:ascii="Times New Roman" w:hAnsi="Times New Roman"/>
                <w:color w:val="auto"/>
                <w:sz w:val="21"/>
                <w:szCs w:val="21"/>
              </w:rPr>
            </w:pPr>
            <w:r>
              <w:rPr>
                <w:rFonts w:ascii="Times New Roman" w:hAnsi="Times New Roman"/>
                <w:color w:val="auto"/>
                <w:sz w:val="21"/>
                <w:szCs w:val="21"/>
              </w:rPr>
              <w:t>线路参数</w:t>
            </w:r>
          </w:p>
        </w:tc>
        <w:tc>
          <w:tcPr>
            <w:tcW w:w="5827" w:type="dxa"/>
            <w:vAlign w:val="center"/>
          </w:tcPr>
          <w:p>
            <w:pPr>
              <w:jc w:val="center"/>
              <w:rPr>
                <w:rFonts w:hint="eastAsia" w:ascii="Times New Roman" w:hAnsi="Times New Roman"/>
                <w:color w:val="auto"/>
                <w:sz w:val="21"/>
                <w:szCs w:val="21"/>
              </w:rPr>
            </w:pPr>
            <w:r>
              <w:rPr>
                <w:rFonts w:hint="eastAsia" w:ascii="Times New Roman" w:hAnsi="Times New Roman"/>
                <w:color w:val="auto"/>
                <w:sz w:val="21"/>
                <w:szCs w:val="21"/>
              </w:rPr>
              <w:t>220kV</w:t>
            </w:r>
            <w:r>
              <w:rPr>
                <w:rFonts w:hint="eastAsia" w:ascii="Times New Roman" w:hAnsi="Times New Roman"/>
                <w:color w:val="auto"/>
                <w:sz w:val="21"/>
                <w:szCs w:val="21"/>
                <w:lang w:eastAsia="zh-CN"/>
              </w:rPr>
              <w:t>文昌气电π接玉洲至江东</w:t>
            </w:r>
            <w:r>
              <w:rPr>
                <w:rFonts w:hint="eastAsia" w:ascii="Times New Roman" w:hAnsi="Times New Roman"/>
                <w:color w:val="auto"/>
                <w:sz w:val="21"/>
                <w:szCs w:val="21"/>
              </w:rPr>
              <w:t>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20" w:type="dxa"/>
            <w:vAlign w:val="center"/>
          </w:tcPr>
          <w:p>
            <w:pPr>
              <w:jc w:val="center"/>
              <w:rPr>
                <w:rFonts w:ascii="Times New Roman" w:hAnsi="Times New Roman"/>
                <w:color w:val="auto"/>
                <w:sz w:val="21"/>
                <w:szCs w:val="21"/>
              </w:rPr>
            </w:pPr>
            <w:r>
              <w:rPr>
                <w:rFonts w:ascii="Times New Roman" w:hAnsi="Times New Roman"/>
                <w:color w:val="auto"/>
                <w:sz w:val="21"/>
                <w:szCs w:val="21"/>
              </w:rPr>
              <w:t>线路架设方式及导线排序</w:t>
            </w:r>
          </w:p>
        </w:tc>
        <w:tc>
          <w:tcPr>
            <w:tcW w:w="5827" w:type="dxa"/>
            <w:vAlign w:val="center"/>
          </w:tcPr>
          <w:p>
            <w:pPr>
              <w:jc w:val="center"/>
              <w:rPr>
                <w:rFonts w:ascii="Times New Roman" w:hAnsi="Times New Roman"/>
                <w:color w:val="auto"/>
                <w:sz w:val="21"/>
                <w:szCs w:val="21"/>
              </w:rPr>
            </w:pPr>
            <w:r>
              <w:rPr>
                <w:rFonts w:ascii="Times New Roman" w:hAnsi="Times New Roman"/>
                <w:color w:val="auto"/>
                <w:sz w:val="21"/>
                <w:szCs w:val="21"/>
              </w:rPr>
              <w:t xml:space="preserve">双回路，垂直排列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20" w:type="dxa"/>
            <w:vAlign w:val="center"/>
          </w:tcPr>
          <w:p>
            <w:pPr>
              <w:jc w:val="center"/>
              <w:rPr>
                <w:rFonts w:ascii="Times New Roman" w:hAnsi="Times New Roman"/>
                <w:color w:val="auto"/>
                <w:sz w:val="21"/>
                <w:szCs w:val="21"/>
              </w:rPr>
            </w:pPr>
            <w:r>
              <w:rPr>
                <w:rFonts w:ascii="Times New Roman" w:hAnsi="Times New Roman"/>
                <w:color w:val="auto"/>
                <w:sz w:val="21"/>
                <w:szCs w:val="21"/>
              </w:rPr>
              <w:t>导线型号</w:t>
            </w:r>
          </w:p>
        </w:tc>
        <w:tc>
          <w:tcPr>
            <w:tcW w:w="5827" w:type="dxa"/>
            <w:vAlign w:val="center"/>
          </w:tcPr>
          <w:p>
            <w:pPr>
              <w:autoSpaceDE w:val="0"/>
              <w:autoSpaceDN w:val="0"/>
              <w:adjustRightInd w:val="0"/>
              <w:jc w:val="center"/>
              <w:rPr>
                <w:rFonts w:hint="eastAsia" w:ascii="Times New Roman" w:hAnsi="Times New Roman"/>
                <w:color w:val="auto"/>
                <w:sz w:val="21"/>
                <w:szCs w:val="21"/>
              </w:rPr>
            </w:pPr>
            <w:r>
              <w:rPr>
                <w:rFonts w:hint="eastAsia" w:ascii="Times New Roman" w:hAnsi="Times New Roman"/>
                <w:color w:val="auto"/>
                <w:sz w:val="21"/>
                <w:szCs w:val="21"/>
              </w:rPr>
              <w:t>2×</w:t>
            </w:r>
            <w:r>
              <w:rPr>
                <w:rFonts w:ascii="Times New Roman" w:hAnsi="Times New Roman"/>
                <w:color w:val="auto"/>
                <w:sz w:val="21"/>
                <w:szCs w:val="21"/>
              </w:rPr>
              <w:t>JL/LB1A-</w:t>
            </w:r>
            <w:r>
              <w:rPr>
                <w:rFonts w:hint="eastAsia" w:ascii="Times New Roman" w:hAnsi="Times New Roman"/>
                <w:color w:val="auto"/>
                <w:sz w:val="21"/>
                <w:szCs w:val="21"/>
                <w:lang w:val="en-US" w:eastAsia="zh-CN"/>
              </w:rPr>
              <w:t>40</w:t>
            </w:r>
            <w:r>
              <w:rPr>
                <w:rFonts w:ascii="Times New Roman" w:hAnsi="Times New Roman"/>
                <w:color w:val="auto"/>
                <w:sz w:val="21"/>
                <w:szCs w:val="21"/>
              </w:rPr>
              <w:t>0/</w:t>
            </w:r>
            <w:r>
              <w:rPr>
                <w:rFonts w:hint="eastAsia" w:ascii="Times New Roman" w:hAnsi="Times New Roman"/>
                <w:color w:val="auto"/>
                <w:sz w:val="21"/>
                <w:szCs w:val="21"/>
                <w:lang w:val="en-US" w:eastAsia="zh-CN"/>
              </w:rPr>
              <w:t>3</w:t>
            </w:r>
            <w:r>
              <w:rPr>
                <w:rFonts w:ascii="Times New Roman" w:hAnsi="Times New Roman"/>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20" w:type="dxa"/>
            <w:vAlign w:val="center"/>
          </w:tcPr>
          <w:p>
            <w:pPr>
              <w:jc w:val="center"/>
              <w:rPr>
                <w:rFonts w:ascii="Times New Roman" w:hAnsi="Times New Roman"/>
                <w:color w:val="auto"/>
                <w:sz w:val="21"/>
                <w:szCs w:val="21"/>
              </w:rPr>
            </w:pPr>
            <w:r>
              <w:rPr>
                <w:rFonts w:ascii="Times New Roman" w:hAnsi="Times New Roman"/>
                <w:color w:val="auto"/>
                <w:sz w:val="21"/>
                <w:szCs w:val="21"/>
              </w:rPr>
              <w:t>导线直径（mm）</w:t>
            </w:r>
          </w:p>
        </w:tc>
        <w:tc>
          <w:tcPr>
            <w:tcW w:w="5827" w:type="dxa"/>
            <w:vAlign w:val="top"/>
          </w:tcPr>
          <w:p>
            <w:pPr>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20" w:type="dxa"/>
            <w:vAlign w:val="center"/>
          </w:tcPr>
          <w:p>
            <w:pPr>
              <w:jc w:val="center"/>
              <w:rPr>
                <w:rFonts w:hint="eastAsia" w:ascii="Times New Roman" w:hAnsi="Times New Roman"/>
                <w:color w:val="auto"/>
                <w:sz w:val="21"/>
                <w:szCs w:val="21"/>
              </w:rPr>
            </w:pPr>
            <w:r>
              <w:rPr>
                <w:rFonts w:hint="eastAsia" w:ascii="Times New Roman" w:hAnsi="Times New Roman"/>
                <w:color w:val="auto"/>
                <w:sz w:val="21"/>
                <w:szCs w:val="21"/>
              </w:rPr>
              <w:t>分裂间距mm</w:t>
            </w:r>
          </w:p>
        </w:tc>
        <w:tc>
          <w:tcPr>
            <w:tcW w:w="5827" w:type="dxa"/>
            <w:vAlign w:val="top"/>
          </w:tcPr>
          <w:p>
            <w:pPr>
              <w:jc w:val="center"/>
              <w:rPr>
                <w:rFonts w:hint="eastAsia" w:ascii="Times New Roman" w:hAnsi="Times New Roman"/>
                <w:color w:val="auto"/>
                <w:sz w:val="21"/>
                <w:szCs w:val="21"/>
              </w:rPr>
            </w:pPr>
            <w:r>
              <w:rPr>
                <w:rFonts w:hint="eastAsia" w:ascii="Times New Roman" w:hAnsi="Times New Roman"/>
                <w:color w:val="auto"/>
                <w:sz w:val="21"/>
                <w:szCs w:val="21"/>
                <w:lang w:val="en-US" w:eastAsia="zh-CN"/>
              </w:rPr>
              <w:t>5</w:t>
            </w:r>
            <w:r>
              <w:rPr>
                <w:rFonts w:hint="eastAsia" w:ascii="Times New Roman" w:hAnsi="Times New Roman"/>
                <w:color w:val="auto"/>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20" w:type="dxa"/>
            <w:vAlign w:val="center"/>
          </w:tcPr>
          <w:p>
            <w:pPr>
              <w:jc w:val="center"/>
              <w:rPr>
                <w:rFonts w:ascii="Times New Roman" w:hAnsi="Times New Roman"/>
                <w:color w:val="auto"/>
                <w:sz w:val="21"/>
                <w:szCs w:val="21"/>
              </w:rPr>
            </w:pPr>
            <w:r>
              <w:rPr>
                <w:rFonts w:ascii="Times New Roman" w:hAnsi="Times New Roman"/>
                <w:color w:val="auto"/>
                <w:sz w:val="21"/>
                <w:szCs w:val="21"/>
              </w:rPr>
              <w:t>所选塔型</w:t>
            </w:r>
          </w:p>
        </w:tc>
        <w:tc>
          <w:tcPr>
            <w:tcW w:w="5827" w:type="dxa"/>
            <w:vAlign w:val="center"/>
          </w:tcPr>
          <w:p>
            <w:pPr>
              <w:jc w:val="center"/>
              <w:rPr>
                <w:rFonts w:hint="eastAsia" w:ascii="Times New Roman" w:hAnsi="Times New Roman"/>
                <w:color w:val="auto"/>
                <w:sz w:val="21"/>
                <w:szCs w:val="21"/>
              </w:rPr>
            </w:pPr>
            <w:r>
              <w:rPr>
                <w:color w:val="auto"/>
              </w:rPr>
              <w:drawing>
                <wp:inline distT="0" distB="0" distL="114300" distR="114300">
                  <wp:extent cx="2118360" cy="2717165"/>
                  <wp:effectExtent l="0" t="0" r="15240" b="698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69"/>
                          <a:stretch>
                            <a:fillRect/>
                          </a:stretch>
                        </pic:blipFill>
                        <pic:spPr>
                          <a:xfrm>
                            <a:off x="0" y="0"/>
                            <a:ext cx="2118360" cy="2717165"/>
                          </a:xfrm>
                          <a:prstGeom prst="rect">
                            <a:avLst/>
                          </a:prstGeom>
                          <a:noFill/>
                          <a:ln>
                            <a:noFill/>
                          </a:ln>
                        </pic:spPr>
                      </pic:pic>
                    </a:graphicData>
                  </a:graphic>
                </wp:inline>
              </w:drawing>
            </w:r>
          </w:p>
          <w:p>
            <w:pPr>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2</w:t>
            </w:r>
            <w:r>
              <w:rPr>
                <w:rFonts w:hint="eastAsia" w:ascii="Times New Roman" w:hAnsi="Times New Roman"/>
                <w:color w:val="auto"/>
                <w:sz w:val="21"/>
                <w:szCs w:val="21"/>
                <w:lang w:val="en-US" w:eastAsia="zh-CN"/>
              </w:rPr>
              <w:t>D</w:t>
            </w:r>
            <w:r>
              <w:rPr>
                <w:rFonts w:hint="eastAsia" w:ascii="Times New Roman" w:hAnsi="Times New Roman"/>
                <w:color w:val="auto"/>
                <w:sz w:val="21"/>
                <w:szCs w:val="21"/>
              </w:rPr>
              <w:t>2Wa</w:t>
            </w:r>
            <w:r>
              <w:rPr>
                <w:rFonts w:ascii="Times New Roman" w:hAnsi="Times New Roman"/>
                <w:color w:val="auto"/>
                <w:sz w:val="21"/>
                <w:szCs w:val="21"/>
              </w:rPr>
              <w:t>-</w:t>
            </w:r>
            <w:r>
              <w:rPr>
                <w:rFonts w:hint="eastAsia" w:ascii="Times New Roman" w:hAnsi="Times New Roman"/>
                <w:color w:val="auto"/>
                <w:sz w:val="21"/>
                <w:szCs w:val="21"/>
              </w:rPr>
              <w:t>Z</w:t>
            </w:r>
            <w:r>
              <w:rPr>
                <w:rFonts w:hint="eastAsia" w:ascii="Times New Roman" w:hAnsi="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20" w:type="dxa"/>
            <w:vAlign w:val="center"/>
          </w:tcPr>
          <w:p>
            <w:pPr>
              <w:jc w:val="center"/>
              <w:rPr>
                <w:rFonts w:ascii="Times New Roman" w:hAnsi="Times New Roman"/>
                <w:color w:val="auto"/>
                <w:sz w:val="21"/>
                <w:szCs w:val="21"/>
              </w:rPr>
            </w:pPr>
            <w:r>
              <w:rPr>
                <w:rFonts w:ascii="Times New Roman" w:hAnsi="Times New Roman"/>
                <w:color w:val="auto"/>
                <w:sz w:val="21"/>
                <w:szCs w:val="21"/>
              </w:rPr>
              <w:t>计算高度（m）</w:t>
            </w:r>
          </w:p>
        </w:tc>
        <w:tc>
          <w:tcPr>
            <w:tcW w:w="5827" w:type="dxa"/>
            <w:vAlign w:val="center"/>
          </w:tcPr>
          <w:p>
            <w:pPr>
              <w:jc w:val="center"/>
              <w:rPr>
                <w:rFonts w:hint="eastAsia" w:ascii="Times New Roman" w:hAnsi="Times New Roman"/>
                <w:color w:val="auto"/>
                <w:sz w:val="21"/>
                <w:szCs w:val="21"/>
              </w:rPr>
            </w:pPr>
            <w:r>
              <w:rPr>
                <w:rFonts w:hint="eastAsia" w:ascii="Times New Roman" w:hAnsi="Times New Roman"/>
                <w:color w:val="auto"/>
                <w:sz w:val="21"/>
                <w:szCs w:val="21"/>
              </w:rPr>
              <w:t>1</w:t>
            </w:r>
            <w:r>
              <w:rPr>
                <w:rFonts w:hint="eastAsia" w:ascii="Times New Roman" w:hAnsi="Times New Roman"/>
                <w:color w:val="auto"/>
                <w:sz w:val="21"/>
                <w:szCs w:val="21"/>
                <w:lang w:val="en-US" w:eastAsia="zh-CN"/>
              </w:rPr>
              <w:t>0</w:t>
            </w:r>
            <w:r>
              <w:rPr>
                <w:rFonts w:hint="eastAsia" w:ascii="Times New Roman" w:hAnsi="Times New Roman"/>
                <w:color w:val="auto"/>
                <w:sz w:val="21"/>
                <w:szCs w:val="21"/>
              </w:rPr>
              <w:t>m（</w:t>
            </w:r>
            <w:r>
              <w:rPr>
                <w:rFonts w:hint="eastAsia" w:ascii="Times New Roman" w:hAnsi="Times New Roman"/>
                <w:color w:val="auto"/>
                <w:sz w:val="21"/>
                <w:szCs w:val="21"/>
                <w:lang w:eastAsia="zh-CN"/>
              </w:rPr>
              <w:t>可研设计估算</w:t>
            </w:r>
            <w:r>
              <w:rPr>
                <w:rFonts w:hint="eastAsia"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20" w:type="dxa"/>
            <w:vAlign w:val="center"/>
          </w:tcPr>
          <w:p>
            <w:pPr>
              <w:jc w:val="center"/>
              <w:rPr>
                <w:rFonts w:ascii="Times New Roman" w:hAnsi="Times New Roman"/>
                <w:color w:val="auto"/>
                <w:sz w:val="21"/>
                <w:szCs w:val="21"/>
              </w:rPr>
            </w:pPr>
            <w:r>
              <w:rPr>
                <w:rFonts w:ascii="Times New Roman" w:hAnsi="Times New Roman"/>
                <w:color w:val="auto"/>
                <w:sz w:val="21"/>
                <w:szCs w:val="21"/>
              </w:rPr>
              <w:t>计算电压及电流</w:t>
            </w:r>
          </w:p>
        </w:tc>
        <w:tc>
          <w:tcPr>
            <w:tcW w:w="5827" w:type="dxa"/>
            <w:vAlign w:val="center"/>
          </w:tcPr>
          <w:p>
            <w:pPr>
              <w:jc w:val="center"/>
              <w:rPr>
                <w:rFonts w:hint="eastAsia" w:ascii="Times New Roman" w:hAnsi="Times New Roman"/>
                <w:color w:val="auto"/>
                <w:sz w:val="21"/>
                <w:szCs w:val="21"/>
              </w:rPr>
            </w:pPr>
            <w:r>
              <w:rPr>
                <w:rFonts w:hint="eastAsia" w:ascii="Times New Roman" w:hAnsi="Times New Roman"/>
                <w:color w:val="auto"/>
                <w:sz w:val="21"/>
                <w:szCs w:val="21"/>
              </w:rPr>
              <w:t>22</w:t>
            </w:r>
            <w:r>
              <w:rPr>
                <w:rFonts w:ascii="Times New Roman" w:hAnsi="Times New Roman"/>
                <w:color w:val="auto"/>
                <w:sz w:val="21"/>
                <w:szCs w:val="21"/>
              </w:rPr>
              <w:t>0kV及</w:t>
            </w:r>
            <w:r>
              <w:rPr>
                <w:rFonts w:hint="eastAsia" w:ascii="Times New Roman" w:hAnsi="Times New Roman"/>
                <w:color w:val="auto"/>
                <w:sz w:val="21"/>
                <w:szCs w:val="21"/>
              </w:rPr>
              <w:t>8</w:t>
            </w:r>
            <w:r>
              <w:rPr>
                <w:rFonts w:ascii="Times New Roman" w:hAnsi="Times New Roman"/>
                <w:color w:val="auto"/>
                <w:sz w:val="21"/>
                <w:szCs w:val="21"/>
              </w:rPr>
              <w:t>00A</w:t>
            </w:r>
          </w:p>
        </w:tc>
      </w:tr>
    </w:tbl>
    <w:p>
      <w:pPr>
        <w:spacing w:line="360" w:lineRule="auto"/>
        <w:ind w:firstLine="420" w:firstLineChars="200"/>
        <w:rPr>
          <w:rFonts w:ascii="Times New Roman" w:hAnsi="Times New Roman"/>
          <w:color w:val="auto"/>
        </w:rPr>
      </w:pPr>
      <w:r>
        <w:rPr>
          <w:rFonts w:ascii="Times New Roman" w:hAnsi="Times New Roman"/>
          <w:color w:val="auto"/>
        </w:rPr>
        <w:t>根据</w:t>
      </w:r>
      <w:r>
        <w:rPr>
          <w:rFonts w:hint="eastAsia" w:ascii="Times New Roman" w:hAnsi="Times New Roman"/>
          <w:color w:val="auto"/>
        </w:rPr>
        <w:t>可研设计单位提供资料表明：根据相关要求并结合现场实际地形及跨越情况，估算本工程导线对地最小距离约</w:t>
      </w:r>
      <w:r>
        <w:rPr>
          <w:rFonts w:hint="eastAsia" w:ascii="Times New Roman" w:hAnsi="Times New Roman"/>
          <w:color w:val="auto"/>
          <w:lang w:val="en-US" w:eastAsia="zh-CN"/>
        </w:rPr>
        <w:t>1</w:t>
      </w:r>
      <w:r>
        <w:rPr>
          <w:rFonts w:hint="eastAsia" w:ascii="Times New Roman" w:hAnsi="Times New Roman"/>
          <w:color w:val="auto"/>
        </w:rPr>
        <w:t>0m。</w:t>
      </w:r>
      <w:r>
        <w:rPr>
          <w:rFonts w:ascii="Times New Roman" w:hAnsi="Times New Roman"/>
          <w:color w:val="auto"/>
        </w:rPr>
        <w:t>因此预测了对地面1.5m高度处的工频电场、工频磁场。</w:t>
      </w:r>
    </w:p>
    <w:p>
      <w:pPr>
        <w:spacing w:line="360" w:lineRule="auto"/>
        <w:ind w:firstLine="420" w:firstLineChars="200"/>
        <w:rPr>
          <w:rFonts w:hint="eastAsia" w:ascii="Times New Roman" w:hAnsi="Times New Roman"/>
          <w:color w:val="auto"/>
        </w:rPr>
      </w:pPr>
      <w:r>
        <w:rPr>
          <w:rFonts w:hint="eastAsia" w:ascii="Times New Roman" w:hAnsi="Times New Roman"/>
          <w:color w:val="auto"/>
        </w:rPr>
        <w:t>（3）</w:t>
      </w:r>
      <w:r>
        <w:rPr>
          <w:rFonts w:ascii="Times New Roman" w:hAnsi="Times New Roman"/>
          <w:color w:val="auto"/>
        </w:rPr>
        <w:t>计算结果</w:t>
      </w:r>
    </w:p>
    <w:p>
      <w:pPr>
        <w:spacing w:line="360" w:lineRule="auto"/>
        <w:ind w:firstLine="420" w:firstLineChars="200"/>
        <w:rPr>
          <w:rFonts w:hint="eastAsia" w:ascii="Times New Roman" w:hAnsi="Times New Roman"/>
          <w:color w:val="auto"/>
        </w:rPr>
      </w:pPr>
      <w:r>
        <w:rPr>
          <w:rFonts w:ascii="Times New Roman" w:hAnsi="Times New Roman"/>
          <w:color w:val="auto"/>
        </w:rPr>
        <w:fldChar w:fldCharType="begin"/>
      </w:r>
      <w:r>
        <w:rPr>
          <w:rFonts w:ascii="Times New Roman" w:hAnsi="Times New Roman"/>
          <w:color w:val="auto"/>
        </w:rPr>
        <w:instrText xml:space="preserve"> = 1 \* GB3 </w:instrText>
      </w:r>
      <w:r>
        <w:rPr>
          <w:rFonts w:ascii="Times New Roman" w:hAnsi="Times New Roman"/>
          <w:color w:val="auto"/>
        </w:rPr>
        <w:fldChar w:fldCharType="separate"/>
      </w:r>
      <w:r>
        <w:rPr>
          <w:rFonts w:hint="eastAsia" w:ascii="Times New Roman" w:hAnsi="Times New Roman" w:cs="宋体"/>
          <w:color w:val="auto"/>
        </w:rPr>
        <w:t>①</w:t>
      </w:r>
      <w:r>
        <w:rPr>
          <w:rFonts w:ascii="Times New Roman" w:hAnsi="Times New Roman"/>
          <w:color w:val="auto"/>
        </w:rPr>
        <w:fldChar w:fldCharType="end"/>
      </w:r>
      <w:r>
        <w:rPr>
          <w:rFonts w:ascii="Times New Roman" w:hAnsi="Times New Roman"/>
          <w:color w:val="auto"/>
        </w:rPr>
        <w:t xml:space="preserve"> 工频电场计算结果</w:t>
      </w:r>
    </w:p>
    <w:p>
      <w:pPr>
        <w:spacing w:line="360" w:lineRule="auto"/>
        <w:ind w:firstLine="420" w:firstLineChars="200"/>
        <w:rPr>
          <w:rFonts w:ascii="Times New Roman" w:hAnsi="Times New Roman"/>
          <w:color w:val="auto"/>
        </w:rPr>
      </w:pPr>
      <w:r>
        <w:rPr>
          <w:rFonts w:hint="eastAsia" w:ascii="Times New Roman" w:hAnsi="Times New Roman"/>
          <w:color w:val="auto"/>
        </w:rPr>
        <w:t>本</w:t>
      </w:r>
      <w:r>
        <w:rPr>
          <w:rFonts w:ascii="Times New Roman" w:hAnsi="Times New Roman"/>
          <w:color w:val="auto"/>
        </w:rPr>
        <w:t>工程</w:t>
      </w:r>
      <w:r>
        <w:rPr>
          <w:rFonts w:hint="eastAsia" w:ascii="Times New Roman" w:hAnsi="Times New Roman"/>
          <w:color w:val="auto"/>
        </w:rPr>
        <w:t>线路按同相序排列（上A中B下C、上A中B下C），逆相序排列（上A中B下C、上C中</w:t>
      </w:r>
      <w:r>
        <w:rPr>
          <w:rFonts w:ascii="Times New Roman" w:hAnsi="Times New Roman"/>
          <w:color w:val="auto"/>
        </w:rPr>
        <w:t>B</w:t>
      </w:r>
      <w:r>
        <w:rPr>
          <w:rFonts w:hint="eastAsia" w:ascii="Times New Roman" w:hAnsi="Times New Roman"/>
          <w:color w:val="auto"/>
        </w:rPr>
        <w:t>下A），计算点离地面高</w:t>
      </w:r>
      <w:r>
        <w:rPr>
          <w:rFonts w:ascii="Times New Roman" w:hAnsi="Times New Roman"/>
          <w:color w:val="auto"/>
        </w:rPr>
        <w:t>1.5m</w:t>
      </w:r>
      <w:r>
        <w:rPr>
          <w:rFonts w:hint="eastAsia" w:ascii="Times New Roman" w:hAnsi="Times New Roman"/>
          <w:color w:val="auto"/>
        </w:rPr>
        <w:t>，其线下工频电场强度的计算结果见表3-4。</w:t>
      </w:r>
    </w:p>
    <w:p>
      <w:pPr>
        <w:jc w:val="center"/>
        <w:rPr>
          <w:rFonts w:ascii="Times New Roman" w:hAnsi="Times New Roman"/>
          <w:b/>
          <w:bCs/>
          <w:color w:val="auto"/>
        </w:rPr>
      </w:pPr>
      <w:r>
        <w:rPr>
          <w:rFonts w:ascii="Times New Roman" w:hAnsi="Times New Roman"/>
          <w:b/>
          <w:bCs/>
          <w:color w:val="auto"/>
        </w:rPr>
        <w:t>表</w:t>
      </w:r>
      <w:r>
        <w:rPr>
          <w:rFonts w:hint="eastAsia" w:ascii="Times New Roman" w:hAnsi="Times New Roman"/>
          <w:b/>
          <w:bCs/>
          <w:color w:val="auto"/>
        </w:rPr>
        <w:t>3-4</w:t>
      </w:r>
      <w:r>
        <w:rPr>
          <w:rFonts w:ascii="Times New Roman" w:hAnsi="Times New Roman"/>
          <w:b/>
          <w:bCs/>
          <w:color w:val="auto"/>
        </w:rPr>
        <w:t xml:space="preserve"> </w:t>
      </w:r>
      <w:r>
        <w:rPr>
          <w:rFonts w:hint="eastAsia" w:ascii="Times New Roman" w:hAnsi="Times New Roman"/>
          <w:b/>
          <w:bCs/>
          <w:color w:val="auto"/>
        </w:rPr>
        <w:t>22</w:t>
      </w:r>
      <w:r>
        <w:rPr>
          <w:rFonts w:ascii="Times New Roman" w:hAnsi="Times New Roman"/>
          <w:b/>
          <w:bCs/>
          <w:color w:val="auto"/>
        </w:rPr>
        <w:t>0kV</w:t>
      </w:r>
      <w:r>
        <w:rPr>
          <w:rFonts w:hint="eastAsia" w:ascii="Times New Roman" w:hAnsi="Times New Roman"/>
          <w:b/>
          <w:bCs/>
          <w:color w:val="auto"/>
        </w:rPr>
        <w:t>双</w:t>
      </w:r>
      <w:r>
        <w:rPr>
          <w:rFonts w:ascii="Times New Roman" w:hAnsi="Times New Roman"/>
          <w:b/>
          <w:bCs/>
          <w:color w:val="auto"/>
        </w:rPr>
        <w:t>回路输电线路工频电场的计算结果</w:t>
      </w:r>
    </w:p>
    <w:tbl>
      <w:tblPr>
        <w:tblStyle w:val="50"/>
        <w:tblW w:w="9250" w:type="dxa"/>
        <w:jc w:val="center"/>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3"/>
        <w:gridCol w:w="2184"/>
        <w:gridCol w:w="2226"/>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Merge w:val="restart"/>
            <w:vAlign w:val="center"/>
          </w:tcPr>
          <w:p>
            <w:pPr>
              <w:jc w:val="center"/>
              <w:rPr>
                <w:rFonts w:ascii="Times New Roman" w:hAnsi="Times New Roman"/>
                <w:color w:val="auto"/>
                <w:sz w:val="21"/>
                <w:szCs w:val="21"/>
              </w:rPr>
            </w:pPr>
            <w:r>
              <w:rPr>
                <w:rFonts w:ascii="Times New Roman" w:hAnsi="Times New Roman"/>
                <w:bCs/>
                <w:color w:val="auto"/>
                <w:sz w:val="21"/>
                <w:szCs w:val="21"/>
              </w:rPr>
              <w:t>距线路走廊中心距离位置（m）</w:t>
            </w:r>
          </w:p>
        </w:tc>
        <w:tc>
          <w:tcPr>
            <w:tcW w:w="4410" w:type="dxa"/>
            <w:gridSpan w:val="2"/>
            <w:vAlign w:val="center"/>
          </w:tcPr>
          <w:p>
            <w:pPr>
              <w:jc w:val="center"/>
              <w:rPr>
                <w:b w:val="0"/>
                <w:bCs w:val="0"/>
                <w:color w:val="auto"/>
                <w:sz w:val="21"/>
                <w:szCs w:val="21"/>
              </w:rPr>
            </w:pPr>
            <w:r>
              <w:rPr>
                <w:rFonts w:ascii="Times New Roman" w:hAnsi="Times New Roman"/>
                <w:b w:val="0"/>
                <w:bCs w:val="0"/>
                <w:color w:val="auto"/>
                <w:sz w:val="21"/>
                <w:szCs w:val="21"/>
              </w:rPr>
              <w:t>同相序</w:t>
            </w:r>
          </w:p>
        </w:tc>
        <w:tc>
          <w:tcPr>
            <w:tcW w:w="2177" w:type="dxa"/>
            <w:vAlign w:val="center"/>
          </w:tcPr>
          <w:p>
            <w:pPr>
              <w:jc w:val="center"/>
              <w:rPr>
                <w:rFonts w:ascii="Times New Roman" w:hAnsi="Times New Roman"/>
                <w:b w:val="0"/>
                <w:bCs w:val="0"/>
                <w:color w:val="auto"/>
                <w:sz w:val="21"/>
                <w:szCs w:val="21"/>
              </w:rPr>
            </w:pPr>
            <w:r>
              <w:rPr>
                <w:rFonts w:ascii="Times New Roman" w:hAnsi="Times New Roman"/>
                <w:b w:val="0"/>
                <w:bCs w:val="0"/>
                <w:color w:val="auto"/>
                <w:sz w:val="21"/>
                <w:szCs w:val="21"/>
              </w:rPr>
              <w:t>逆相序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Merge w:val="continue"/>
            <w:vAlign w:val="center"/>
          </w:tcPr>
          <w:p>
            <w:pPr>
              <w:jc w:val="center"/>
              <w:rPr>
                <w:rFonts w:ascii="Times New Roman" w:hAnsi="Times New Roman"/>
                <w:bCs/>
                <w:color w:val="auto"/>
                <w:sz w:val="21"/>
                <w:szCs w:val="21"/>
              </w:rPr>
            </w:pPr>
          </w:p>
        </w:tc>
        <w:tc>
          <w:tcPr>
            <w:tcW w:w="2184" w:type="dxa"/>
            <w:vAlign w:val="center"/>
          </w:tcPr>
          <w:p>
            <w:pPr>
              <w:jc w:val="center"/>
              <w:rPr>
                <w:color w:val="auto"/>
                <w:sz w:val="21"/>
                <w:szCs w:val="21"/>
              </w:rPr>
            </w:pPr>
            <w:r>
              <w:rPr>
                <w:rFonts w:ascii="Times New Roman" w:hAnsi="Times New Roman"/>
                <w:bCs/>
                <w:color w:val="auto"/>
                <w:sz w:val="21"/>
                <w:szCs w:val="21"/>
              </w:rPr>
              <w:t>对地高度</w:t>
            </w:r>
            <w:r>
              <w:rPr>
                <w:rFonts w:hint="eastAsia" w:ascii="Times New Roman" w:hAnsi="Times New Roman"/>
                <w:color w:val="auto"/>
                <w:sz w:val="21"/>
                <w:szCs w:val="21"/>
              </w:rPr>
              <w:t>1</w:t>
            </w:r>
            <w:r>
              <w:rPr>
                <w:rFonts w:hint="eastAsia" w:ascii="Times New Roman" w:hAnsi="Times New Roman"/>
                <w:color w:val="auto"/>
                <w:sz w:val="21"/>
                <w:szCs w:val="21"/>
                <w:lang w:val="en-US" w:eastAsia="zh-CN"/>
              </w:rPr>
              <w:t>0</w:t>
            </w:r>
            <w:r>
              <w:rPr>
                <w:rFonts w:ascii="Times New Roman" w:hAnsi="Times New Roman"/>
                <w:color w:val="auto"/>
                <w:sz w:val="21"/>
                <w:szCs w:val="21"/>
              </w:rPr>
              <w:t>m（kV/m）</w:t>
            </w:r>
          </w:p>
        </w:tc>
        <w:tc>
          <w:tcPr>
            <w:tcW w:w="2226" w:type="dxa"/>
            <w:vAlign w:val="center"/>
          </w:tcPr>
          <w:p>
            <w:pPr>
              <w:jc w:val="center"/>
              <w:rPr>
                <w:color w:val="auto"/>
                <w:sz w:val="21"/>
                <w:szCs w:val="21"/>
              </w:rPr>
            </w:pPr>
            <w:r>
              <w:rPr>
                <w:rFonts w:ascii="Times New Roman" w:hAnsi="Times New Roman"/>
                <w:bCs/>
                <w:color w:val="auto"/>
                <w:sz w:val="21"/>
                <w:szCs w:val="21"/>
              </w:rPr>
              <w:t>对地高度</w:t>
            </w:r>
            <w:r>
              <w:rPr>
                <w:rFonts w:hint="eastAsia" w:ascii="Times New Roman" w:hAnsi="Times New Roman"/>
                <w:color w:val="auto"/>
                <w:sz w:val="21"/>
                <w:szCs w:val="21"/>
              </w:rPr>
              <w:t>1</w:t>
            </w:r>
            <w:r>
              <w:rPr>
                <w:rFonts w:hint="eastAsia" w:ascii="Times New Roman" w:hAnsi="Times New Roman"/>
                <w:color w:val="auto"/>
                <w:sz w:val="21"/>
                <w:szCs w:val="21"/>
                <w:lang w:val="en-US" w:eastAsia="zh-CN"/>
              </w:rPr>
              <w:t>1</w:t>
            </w:r>
            <w:r>
              <w:rPr>
                <w:rFonts w:ascii="Times New Roman" w:hAnsi="Times New Roman"/>
                <w:color w:val="auto"/>
                <w:sz w:val="21"/>
                <w:szCs w:val="21"/>
              </w:rPr>
              <w:t>m（kV/m）</w:t>
            </w:r>
          </w:p>
        </w:tc>
        <w:tc>
          <w:tcPr>
            <w:tcW w:w="2177"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对地高度</w:t>
            </w:r>
            <w:r>
              <w:rPr>
                <w:rFonts w:hint="eastAsia" w:ascii="Times New Roman" w:hAnsi="Times New Roman"/>
                <w:color w:val="auto"/>
                <w:sz w:val="21"/>
                <w:szCs w:val="21"/>
                <w:lang w:val="en-US" w:eastAsia="zh-CN"/>
              </w:rPr>
              <w:t>10</w:t>
            </w:r>
            <w:r>
              <w:rPr>
                <w:rFonts w:ascii="Times New Roman" w:hAnsi="Times New Roman"/>
                <w:color w:val="auto"/>
                <w:sz w:val="21"/>
                <w:szCs w:val="21"/>
              </w:rPr>
              <w:t>m（kV/m）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0</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3.920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3.665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1.361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1</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3.941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3.675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1.485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2</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3.998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3.701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1.794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3</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4.074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3.732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2.176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4</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4.142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3.752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2.550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5</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4.171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3.741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2.861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ascii="Times New Roman" w:hAnsi="Times New Roman"/>
                <w:b w:val="0"/>
                <w:bCs/>
                <w:color w:val="auto"/>
                <w:sz w:val="21"/>
                <w:szCs w:val="21"/>
              </w:rPr>
            </w:pPr>
            <w:r>
              <w:rPr>
                <w:rFonts w:ascii="Times New Roman" w:hAnsi="Times New Roman"/>
                <w:b w:val="0"/>
                <w:bCs/>
                <w:color w:val="auto"/>
                <w:sz w:val="21"/>
                <w:szCs w:val="21"/>
              </w:rPr>
              <w:t>6</w:t>
            </w:r>
          </w:p>
        </w:tc>
        <w:tc>
          <w:tcPr>
            <w:tcW w:w="2184" w:type="dxa"/>
            <w:vAlign w:val="center"/>
          </w:tcPr>
          <w:p>
            <w:pPr>
              <w:jc w:val="center"/>
              <w:rPr>
                <w:color w:val="auto"/>
                <w:sz w:val="21"/>
                <w:szCs w:val="21"/>
              </w:rPr>
            </w:pPr>
            <w:r>
              <w:rPr>
                <w:rFonts w:hint="eastAsia" w:ascii="Times New Roman" w:hAnsi="Times New Roman"/>
                <w:b w:val="0"/>
                <w:bCs/>
                <w:color w:val="auto"/>
                <w:sz w:val="21"/>
                <w:szCs w:val="21"/>
                <w:lang w:val="en-US" w:eastAsia="zh-CN"/>
              </w:rPr>
              <w:t xml:space="preserve">4.135 </w:t>
            </w:r>
          </w:p>
        </w:tc>
        <w:tc>
          <w:tcPr>
            <w:tcW w:w="2226" w:type="dxa"/>
            <w:vAlign w:val="center"/>
          </w:tcPr>
          <w:p>
            <w:pPr>
              <w:jc w:val="center"/>
              <w:rPr>
                <w:color w:val="auto"/>
                <w:sz w:val="21"/>
                <w:szCs w:val="21"/>
              </w:rPr>
            </w:pPr>
            <w:r>
              <w:rPr>
                <w:rFonts w:hint="eastAsia" w:ascii="Times New Roman" w:hAnsi="Times New Roman"/>
                <w:b w:val="0"/>
                <w:bCs/>
                <w:color w:val="auto"/>
                <w:sz w:val="21"/>
                <w:szCs w:val="21"/>
                <w:lang w:val="en-US" w:eastAsia="zh-CN"/>
              </w:rPr>
              <w:t xml:space="preserve">3.682 </w:t>
            </w:r>
          </w:p>
        </w:tc>
        <w:tc>
          <w:tcPr>
            <w:tcW w:w="2177" w:type="dxa"/>
            <w:vAlign w:val="center"/>
          </w:tcPr>
          <w:p>
            <w:pPr>
              <w:jc w:val="center"/>
              <w:rPr>
                <w:rFonts w:ascii="Times New Roman" w:hAnsi="Times New Roman"/>
                <w:b w:val="0"/>
                <w:bCs/>
                <w:color w:val="auto"/>
                <w:sz w:val="21"/>
                <w:szCs w:val="21"/>
              </w:rPr>
            </w:pPr>
            <w:r>
              <w:rPr>
                <w:rFonts w:hint="eastAsia" w:ascii="Times New Roman" w:hAnsi="Times New Roman"/>
                <w:bCs/>
                <w:color w:val="auto"/>
                <w:sz w:val="21"/>
                <w:szCs w:val="21"/>
                <w:lang w:val="en-US" w:eastAsia="zh-CN"/>
              </w:rPr>
              <w:t xml:space="preserve">3.074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hint="default" w:ascii="Times New Roman" w:hAnsi="Times New Roman" w:eastAsia="宋体"/>
                <w:bCs/>
                <w:color w:val="auto"/>
                <w:sz w:val="21"/>
                <w:szCs w:val="21"/>
                <w:lang w:val="en-US" w:eastAsia="zh-CN"/>
              </w:rPr>
            </w:pPr>
            <w:r>
              <w:rPr>
                <w:rFonts w:ascii="Times New Roman" w:hAnsi="Times New Roman"/>
                <w:bCs/>
                <w:color w:val="auto"/>
                <w:sz w:val="21"/>
                <w:szCs w:val="21"/>
              </w:rPr>
              <w:t>7</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4.015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3.566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3.169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8</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3.808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3.390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3.146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9</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3.525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3.160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3.019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10</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3.188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2.890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2.811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15</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1.459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1.445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1.468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20</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0.445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0.508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0.604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25</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0.089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0.093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0.213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30</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0.207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0.161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0.050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35</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0.259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0.226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hint="eastAsia" w:ascii="Times New Roman" w:hAnsi="Times New Roman"/>
                <w:bCs/>
                <w:color w:val="auto"/>
                <w:sz w:val="21"/>
                <w:szCs w:val="21"/>
              </w:rPr>
            </w:pPr>
            <w:r>
              <w:rPr>
                <w:rFonts w:hint="eastAsia" w:ascii="Times New Roman" w:hAnsi="Times New Roman"/>
                <w:bCs/>
                <w:color w:val="auto"/>
                <w:sz w:val="21"/>
                <w:szCs w:val="21"/>
              </w:rPr>
              <w:t>40</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0.265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0.241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0.051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hint="eastAsia" w:ascii="Times New Roman" w:hAnsi="Times New Roman"/>
                <w:bCs/>
                <w:color w:val="auto"/>
                <w:sz w:val="21"/>
                <w:szCs w:val="21"/>
              </w:rPr>
            </w:pPr>
            <w:r>
              <w:rPr>
                <w:rFonts w:hint="eastAsia" w:ascii="Times New Roman" w:hAnsi="Times New Roman"/>
                <w:bCs/>
                <w:color w:val="auto"/>
                <w:sz w:val="21"/>
                <w:szCs w:val="21"/>
              </w:rPr>
              <w:t>45</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0.250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0.234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0.057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63" w:type="dxa"/>
            <w:vAlign w:val="center"/>
          </w:tcPr>
          <w:p>
            <w:pPr>
              <w:jc w:val="center"/>
              <w:rPr>
                <w:rFonts w:hint="eastAsia" w:ascii="Times New Roman" w:hAnsi="Times New Roman"/>
                <w:bCs/>
                <w:color w:val="auto"/>
                <w:sz w:val="21"/>
                <w:szCs w:val="21"/>
              </w:rPr>
            </w:pPr>
            <w:r>
              <w:rPr>
                <w:rFonts w:hint="eastAsia" w:ascii="Times New Roman" w:hAnsi="Times New Roman"/>
                <w:bCs/>
                <w:color w:val="auto"/>
                <w:sz w:val="21"/>
                <w:szCs w:val="21"/>
              </w:rPr>
              <w:t>47（评价范围边界为46.</w:t>
            </w:r>
            <w:r>
              <w:rPr>
                <w:rFonts w:hint="eastAsia" w:ascii="Times New Roman" w:hAnsi="Times New Roman"/>
                <w:bCs/>
                <w:color w:val="auto"/>
                <w:sz w:val="21"/>
                <w:szCs w:val="21"/>
                <w:lang w:val="en-US" w:eastAsia="zh-CN"/>
              </w:rPr>
              <w:t>5</w:t>
            </w:r>
            <w:r>
              <w:rPr>
                <w:rFonts w:hint="eastAsia" w:ascii="Times New Roman" w:hAnsi="Times New Roman"/>
                <w:bCs/>
                <w:color w:val="auto"/>
                <w:sz w:val="21"/>
                <w:szCs w:val="21"/>
              </w:rPr>
              <w:t>）</w:t>
            </w:r>
          </w:p>
        </w:tc>
        <w:tc>
          <w:tcPr>
            <w:tcW w:w="2184"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0.242 </w:t>
            </w:r>
          </w:p>
        </w:tc>
        <w:tc>
          <w:tcPr>
            <w:tcW w:w="2226"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0.228 </w:t>
            </w:r>
          </w:p>
        </w:tc>
        <w:tc>
          <w:tcPr>
            <w:tcW w:w="2177"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0.057 </w:t>
            </w:r>
          </w:p>
        </w:tc>
      </w:tr>
    </w:tbl>
    <w:p>
      <w:pPr>
        <w:spacing w:line="360" w:lineRule="auto"/>
        <w:ind w:firstLine="420" w:firstLineChars="200"/>
        <w:rPr>
          <w:rFonts w:hint="eastAsia" w:ascii="Times New Roman" w:hAnsi="Times New Roman"/>
          <w:color w:val="auto"/>
        </w:rPr>
      </w:pPr>
      <w:r>
        <w:rPr>
          <w:rFonts w:ascii="Times New Roman" w:hAnsi="Times New Roman"/>
          <w:color w:val="auto"/>
        </w:rPr>
        <w:t>从表</w:t>
      </w:r>
      <w:r>
        <w:rPr>
          <w:rFonts w:hint="eastAsia" w:ascii="Times New Roman" w:hAnsi="Times New Roman"/>
          <w:color w:val="auto"/>
        </w:rPr>
        <w:t>3-4</w:t>
      </w:r>
      <w:r>
        <w:rPr>
          <w:rFonts w:ascii="Times New Roman" w:hAnsi="Times New Roman"/>
          <w:color w:val="auto"/>
        </w:rPr>
        <w:t>中预测结果可知，在</w:t>
      </w:r>
      <w:r>
        <w:rPr>
          <w:rFonts w:hint="eastAsia" w:ascii="Times New Roman" w:hAnsi="Times New Roman"/>
          <w:color w:val="auto"/>
        </w:rPr>
        <w:t>22</w:t>
      </w:r>
      <w:r>
        <w:rPr>
          <w:rFonts w:ascii="Times New Roman" w:hAnsi="Times New Roman"/>
          <w:color w:val="auto"/>
        </w:rPr>
        <w:t>0kV双回架空输电线路同相序排列情况下：线路导线对地净空高度为</w:t>
      </w:r>
      <w:r>
        <w:rPr>
          <w:rFonts w:hint="eastAsia" w:ascii="Times New Roman" w:hAnsi="Times New Roman"/>
          <w:color w:val="auto"/>
        </w:rPr>
        <w:t>1</w:t>
      </w:r>
      <w:r>
        <w:rPr>
          <w:rFonts w:hint="eastAsia" w:ascii="Times New Roman" w:hAnsi="Times New Roman"/>
          <w:color w:val="auto"/>
          <w:lang w:val="en-US" w:eastAsia="zh-CN"/>
        </w:rPr>
        <w:t>0</w:t>
      </w:r>
      <w:r>
        <w:rPr>
          <w:rFonts w:ascii="Times New Roman" w:hAnsi="Times New Roman"/>
          <w:color w:val="auto"/>
        </w:rPr>
        <w:t>m</w:t>
      </w:r>
      <w:r>
        <w:rPr>
          <w:rFonts w:hint="eastAsia" w:ascii="Times New Roman" w:hAnsi="Times New Roman"/>
          <w:color w:val="auto"/>
        </w:rPr>
        <w:t>时，</w:t>
      </w:r>
      <w:r>
        <w:rPr>
          <w:rFonts w:ascii="Times New Roman" w:hAnsi="Times New Roman"/>
          <w:color w:val="auto"/>
        </w:rPr>
        <w:t>在地面1.5m高度处产生的最大工频电场强度</w:t>
      </w:r>
      <w:r>
        <w:rPr>
          <w:rFonts w:hint="eastAsia" w:ascii="Times New Roman" w:hAnsi="Times New Roman"/>
          <w:color w:val="auto"/>
        </w:rPr>
        <w:t>为</w:t>
      </w:r>
      <w:r>
        <w:rPr>
          <w:rFonts w:hint="eastAsia" w:ascii="Times New Roman" w:hAnsi="Times New Roman"/>
          <w:color w:val="auto"/>
          <w:lang w:val="en-US" w:eastAsia="zh-CN"/>
        </w:rPr>
        <w:t>4.171</w:t>
      </w:r>
      <w:r>
        <w:rPr>
          <w:rFonts w:ascii="Times New Roman" w:hAnsi="Times New Roman"/>
          <w:color w:val="auto"/>
        </w:rPr>
        <w:t>kV/m，</w:t>
      </w:r>
      <w:r>
        <w:rPr>
          <w:rFonts w:hint="eastAsia" w:ascii="Times New Roman" w:hAnsi="Times New Roman"/>
          <w:color w:val="auto"/>
          <w:lang w:eastAsia="zh-CN"/>
        </w:rPr>
        <w:t>大于</w:t>
      </w:r>
      <w:r>
        <w:rPr>
          <w:rFonts w:ascii="Times New Roman" w:hAnsi="Times New Roman"/>
          <w:color w:val="auto"/>
        </w:rPr>
        <w:t>4kV/m的标准</w:t>
      </w:r>
      <w:r>
        <w:rPr>
          <w:rFonts w:hint="eastAsia" w:ascii="Times New Roman" w:hAnsi="Times New Roman"/>
          <w:color w:val="auto"/>
        </w:rPr>
        <w:t>限值</w:t>
      </w:r>
      <w:r>
        <w:rPr>
          <w:rFonts w:ascii="Times New Roman" w:hAnsi="Times New Roman"/>
          <w:color w:val="auto"/>
        </w:rPr>
        <w:t>要求</w:t>
      </w:r>
      <w:r>
        <w:rPr>
          <w:rFonts w:hint="eastAsia" w:ascii="Times New Roman" w:hAnsi="Times New Roman"/>
          <w:color w:val="auto"/>
          <w:lang w:eastAsia="zh-CN"/>
        </w:rPr>
        <w:t>；</w:t>
      </w:r>
      <w:r>
        <w:rPr>
          <w:rFonts w:hint="eastAsia" w:ascii="Times New Roman" w:hAnsi="Times New Roman"/>
          <w:color w:val="auto"/>
        </w:rPr>
        <w:t>但</w:t>
      </w:r>
      <w:r>
        <w:rPr>
          <w:rFonts w:ascii="Times New Roman" w:hAnsi="Times New Roman"/>
          <w:color w:val="auto"/>
        </w:rPr>
        <w:t>当导线对地净空高度为</w:t>
      </w:r>
      <w:r>
        <w:rPr>
          <w:rFonts w:hint="eastAsia" w:ascii="Times New Roman" w:hAnsi="Times New Roman"/>
          <w:color w:val="auto"/>
        </w:rPr>
        <w:t>1</w:t>
      </w:r>
      <w:r>
        <w:rPr>
          <w:rFonts w:hint="eastAsia" w:ascii="Times New Roman" w:hAnsi="Times New Roman"/>
          <w:color w:val="auto"/>
          <w:lang w:val="en-US" w:eastAsia="zh-CN"/>
        </w:rPr>
        <w:t>1</w:t>
      </w:r>
      <w:r>
        <w:rPr>
          <w:rFonts w:ascii="Times New Roman" w:hAnsi="Times New Roman"/>
          <w:color w:val="auto"/>
        </w:rPr>
        <w:t>m</w:t>
      </w:r>
      <w:r>
        <w:rPr>
          <w:rFonts w:hint="eastAsia" w:ascii="Times New Roman" w:hAnsi="Times New Roman"/>
          <w:color w:val="auto"/>
        </w:rPr>
        <w:t>时，</w:t>
      </w:r>
      <w:r>
        <w:rPr>
          <w:rFonts w:ascii="Times New Roman" w:hAnsi="Times New Roman"/>
          <w:color w:val="auto"/>
        </w:rPr>
        <w:t>在地面1.5m高度处产生的最大工频电场强度</w:t>
      </w:r>
      <w:r>
        <w:rPr>
          <w:rFonts w:hint="eastAsia" w:ascii="Times New Roman" w:hAnsi="Times New Roman"/>
          <w:color w:val="auto"/>
        </w:rPr>
        <w:t>为</w:t>
      </w:r>
      <w:r>
        <w:rPr>
          <w:rFonts w:hint="eastAsia" w:ascii="Times New Roman" w:hAnsi="Times New Roman"/>
          <w:color w:val="auto"/>
          <w:lang w:val="en-US" w:eastAsia="zh-CN"/>
        </w:rPr>
        <w:t>3.752</w:t>
      </w:r>
      <w:r>
        <w:rPr>
          <w:rFonts w:ascii="Times New Roman" w:hAnsi="Times New Roman"/>
          <w:color w:val="auto"/>
        </w:rPr>
        <w:t>kV/m，</w:t>
      </w:r>
      <w:r>
        <w:rPr>
          <w:rFonts w:hint="eastAsia" w:ascii="Times New Roman" w:hAnsi="Times New Roman"/>
          <w:color w:val="auto"/>
        </w:rPr>
        <w:t>小</w:t>
      </w:r>
      <w:r>
        <w:rPr>
          <w:rFonts w:ascii="Times New Roman" w:hAnsi="Times New Roman"/>
          <w:color w:val="auto"/>
        </w:rPr>
        <w:t>于4kV/m的标准</w:t>
      </w:r>
      <w:r>
        <w:rPr>
          <w:rFonts w:hint="eastAsia" w:ascii="Times New Roman" w:hAnsi="Times New Roman"/>
          <w:color w:val="auto"/>
        </w:rPr>
        <w:t>限值</w:t>
      </w:r>
      <w:r>
        <w:rPr>
          <w:rFonts w:ascii="Times New Roman" w:hAnsi="Times New Roman"/>
          <w:color w:val="auto"/>
        </w:rPr>
        <w:t>要求</w:t>
      </w:r>
      <w:r>
        <w:rPr>
          <w:rFonts w:hint="eastAsia" w:ascii="Times New Roman" w:hAnsi="Times New Roman"/>
          <w:color w:val="auto"/>
        </w:rPr>
        <w:t>。</w:t>
      </w:r>
      <w:r>
        <w:rPr>
          <w:rFonts w:ascii="Times New Roman" w:hAnsi="Times New Roman"/>
          <w:color w:val="auto"/>
        </w:rPr>
        <w:t>在</w:t>
      </w:r>
      <w:r>
        <w:rPr>
          <w:rFonts w:hint="eastAsia" w:ascii="Times New Roman" w:hAnsi="Times New Roman"/>
          <w:color w:val="auto"/>
        </w:rPr>
        <w:t>22</w:t>
      </w:r>
      <w:r>
        <w:rPr>
          <w:rFonts w:ascii="Times New Roman" w:hAnsi="Times New Roman"/>
          <w:color w:val="auto"/>
        </w:rPr>
        <w:t>0kV双回架空输电线路逆相序排列情况下：线路导线对地净空高度为</w:t>
      </w:r>
      <w:r>
        <w:rPr>
          <w:rFonts w:hint="eastAsia" w:ascii="Times New Roman" w:hAnsi="Times New Roman"/>
          <w:color w:val="auto"/>
        </w:rPr>
        <w:t>1</w:t>
      </w:r>
      <w:r>
        <w:rPr>
          <w:rFonts w:hint="eastAsia" w:ascii="Times New Roman" w:hAnsi="Times New Roman"/>
          <w:color w:val="auto"/>
          <w:lang w:val="en-US" w:eastAsia="zh-CN"/>
        </w:rPr>
        <w:t>0</w:t>
      </w:r>
      <w:r>
        <w:rPr>
          <w:rFonts w:ascii="Times New Roman" w:hAnsi="Times New Roman"/>
          <w:color w:val="auto"/>
        </w:rPr>
        <w:t>m</w:t>
      </w:r>
      <w:r>
        <w:rPr>
          <w:rFonts w:hint="eastAsia" w:ascii="Times New Roman" w:hAnsi="Times New Roman"/>
          <w:color w:val="auto"/>
        </w:rPr>
        <w:t>时，</w:t>
      </w:r>
      <w:r>
        <w:rPr>
          <w:rFonts w:ascii="Times New Roman" w:hAnsi="Times New Roman"/>
          <w:color w:val="auto"/>
        </w:rPr>
        <w:t>在地面1.5m高度处产生的最大工频电场强度</w:t>
      </w:r>
      <w:r>
        <w:rPr>
          <w:rFonts w:hint="eastAsia" w:ascii="Times New Roman" w:hAnsi="Times New Roman"/>
          <w:color w:val="auto"/>
        </w:rPr>
        <w:t>为</w:t>
      </w:r>
      <w:r>
        <w:rPr>
          <w:rFonts w:hint="eastAsia" w:ascii="Times New Roman" w:hAnsi="Times New Roman"/>
          <w:color w:val="auto"/>
          <w:lang w:val="en-US" w:eastAsia="zh-CN"/>
        </w:rPr>
        <w:t>3.169</w:t>
      </w:r>
      <w:r>
        <w:rPr>
          <w:rFonts w:ascii="Times New Roman" w:hAnsi="Times New Roman"/>
          <w:color w:val="auto"/>
        </w:rPr>
        <w:t>kV/m，</w:t>
      </w:r>
      <w:r>
        <w:rPr>
          <w:rFonts w:hint="eastAsia" w:ascii="Times New Roman" w:hAnsi="Times New Roman"/>
          <w:color w:val="auto"/>
        </w:rPr>
        <w:t>小</w:t>
      </w:r>
      <w:r>
        <w:rPr>
          <w:rFonts w:ascii="Times New Roman" w:hAnsi="Times New Roman"/>
          <w:color w:val="auto"/>
        </w:rPr>
        <w:t>于4kV/m的标准</w:t>
      </w:r>
      <w:r>
        <w:rPr>
          <w:rFonts w:hint="eastAsia" w:ascii="Times New Roman" w:hAnsi="Times New Roman"/>
          <w:color w:val="auto"/>
        </w:rPr>
        <w:t>限值</w:t>
      </w:r>
      <w:r>
        <w:rPr>
          <w:rFonts w:ascii="Times New Roman" w:hAnsi="Times New Roman"/>
          <w:color w:val="auto"/>
        </w:rPr>
        <w:t>要求</w:t>
      </w:r>
      <w:r>
        <w:rPr>
          <w:rFonts w:hint="eastAsia" w:ascii="Times New Roman" w:hAnsi="Times New Roman"/>
          <w:color w:val="auto"/>
        </w:rPr>
        <w:t>。</w:t>
      </w:r>
    </w:p>
    <w:p>
      <w:pPr>
        <w:spacing w:line="360" w:lineRule="auto"/>
        <w:ind w:firstLine="420" w:firstLineChars="200"/>
        <w:rPr>
          <w:rFonts w:ascii="Times New Roman" w:hAnsi="Times New Roman"/>
          <w:color w:val="auto"/>
        </w:rPr>
      </w:pPr>
      <w:r>
        <w:rPr>
          <w:rFonts w:ascii="Times New Roman" w:hAnsi="Times New Roman"/>
          <w:color w:val="auto"/>
        </w:rPr>
        <w:fldChar w:fldCharType="begin"/>
      </w:r>
      <w:r>
        <w:rPr>
          <w:rFonts w:ascii="Times New Roman" w:hAnsi="Times New Roman"/>
          <w:color w:val="auto"/>
        </w:rPr>
        <w:instrText xml:space="preserve"> = 2 \* GB3 </w:instrText>
      </w:r>
      <w:r>
        <w:rPr>
          <w:rFonts w:ascii="Times New Roman" w:hAnsi="Times New Roman"/>
          <w:color w:val="auto"/>
        </w:rPr>
        <w:fldChar w:fldCharType="separate"/>
      </w:r>
      <w:r>
        <w:rPr>
          <w:rFonts w:hint="eastAsia" w:ascii="Times New Roman" w:hAnsi="Times New Roman" w:cs="宋体"/>
          <w:color w:val="auto"/>
        </w:rPr>
        <w:t>②</w:t>
      </w:r>
      <w:r>
        <w:rPr>
          <w:rFonts w:ascii="Times New Roman" w:hAnsi="Times New Roman"/>
          <w:color w:val="auto"/>
        </w:rPr>
        <w:fldChar w:fldCharType="end"/>
      </w:r>
      <w:r>
        <w:rPr>
          <w:rFonts w:ascii="Times New Roman" w:hAnsi="Times New Roman"/>
          <w:color w:val="auto"/>
        </w:rPr>
        <w:t>工频磁场计算结果</w:t>
      </w:r>
    </w:p>
    <w:p>
      <w:pPr>
        <w:jc w:val="center"/>
        <w:rPr>
          <w:rFonts w:ascii="Times New Roman" w:hAnsi="Times New Roman"/>
          <w:b/>
          <w:bCs/>
          <w:color w:val="auto"/>
        </w:rPr>
      </w:pPr>
      <w:r>
        <w:rPr>
          <w:rFonts w:ascii="Times New Roman" w:hAnsi="Times New Roman"/>
          <w:b/>
          <w:bCs/>
          <w:color w:val="auto"/>
        </w:rPr>
        <w:t>表</w:t>
      </w:r>
      <w:r>
        <w:rPr>
          <w:rFonts w:hint="eastAsia" w:ascii="Times New Roman" w:hAnsi="Times New Roman"/>
          <w:b/>
          <w:bCs/>
          <w:color w:val="auto"/>
        </w:rPr>
        <w:t>3-</w:t>
      </w:r>
      <w:r>
        <w:rPr>
          <w:rFonts w:hint="eastAsia" w:ascii="Times New Roman" w:hAnsi="Times New Roman"/>
          <w:b/>
          <w:bCs/>
          <w:color w:val="auto"/>
          <w:lang w:val="en-US" w:eastAsia="zh-CN"/>
        </w:rPr>
        <w:t>5</w:t>
      </w:r>
      <w:r>
        <w:rPr>
          <w:rFonts w:hint="eastAsia" w:ascii="Times New Roman" w:hAnsi="Times New Roman"/>
          <w:b/>
          <w:bCs/>
          <w:color w:val="auto"/>
        </w:rPr>
        <w:t xml:space="preserve"> 22</w:t>
      </w:r>
      <w:r>
        <w:rPr>
          <w:rFonts w:ascii="Times New Roman" w:hAnsi="Times New Roman"/>
          <w:b/>
          <w:bCs/>
          <w:color w:val="auto"/>
        </w:rPr>
        <w:t>0kV</w:t>
      </w:r>
      <w:r>
        <w:rPr>
          <w:rFonts w:hint="eastAsia" w:ascii="Times New Roman" w:hAnsi="Times New Roman"/>
          <w:b/>
          <w:bCs/>
          <w:color w:val="auto"/>
        </w:rPr>
        <w:t>双</w:t>
      </w:r>
      <w:r>
        <w:rPr>
          <w:rFonts w:ascii="Times New Roman" w:hAnsi="Times New Roman"/>
          <w:b/>
          <w:bCs/>
          <w:color w:val="auto"/>
        </w:rPr>
        <w:t>回输电线路</w:t>
      </w:r>
      <w:r>
        <w:rPr>
          <w:rFonts w:hint="eastAsia" w:ascii="Times New Roman" w:hAnsi="Times New Roman"/>
          <w:b/>
          <w:bCs/>
          <w:color w:val="auto"/>
        </w:rPr>
        <w:t>下</w:t>
      </w:r>
      <w:r>
        <w:rPr>
          <w:rFonts w:ascii="Times New Roman" w:hAnsi="Times New Roman"/>
          <w:b/>
          <w:bCs/>
          <w:color w:val="auto"/>
        </w:rPr>
        <w:t>工频磁场计算结果（同相序排列）</w:t>
      </w:r>
    </w:p>
    <w:tbl>
      <w:tblPr>
        <w:tblStyle w:val="50"/>
        <w:tblW w:w="8702" w:type="dxa"/>
        <w:jc w:val="center"/>
        <w:tblInd w:w="6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4"/>
        <w:gridCol w:w="1911"/>
        <w:gridCol w:w="2022"/>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Merge w:val="restart"/>
            <w:vAlign w:val="center"/>
          </w:tcPr>
          <w:p>
            <w:pPr>
              <w:jc w:val="center"/>
              <w:rPr>
                <w:rFonts w:ascii="Times New Roman" w:hAnsi="Times New Roman"/>
                <w:color w:val="auto"/>
                <w:sz w:val="21"/>
                <w:szCs w:val="21"/>
              </w:rPr>
            </w:pPr>
            <w:r>
              <w:rPr>
                <w:rFonts w:ascii="Times New Roman" w:hAnsi="Times New Roman"/>
                <w:bCs/>
                <w:color w:val="auto"/>
                <w:sz w:val="21"/>
                <w:szCs w:val="21"/>
              </w:rPr>
              <w:t>距线路走廊中心距离位置（m）</w:t>
            </w:r>
          </w:p>
        </w:tc>
        <w:tc>
          <w:tcPr>
            <w:tcW w:w="3933" w:type="dxa"/>
            <w:gridSpan w:val="2"/>
            <w:vAlign w:val="center"/>
          </w:tcPr>
          <w:p>
            <w:pPr>
              <w:jc w:val="center"/>
              <w:rPr>
                <w:color w:val="auto"/>
                <w:sz w:val="21"/>
                <w:szCs w:val="21"/>
              </w:rPr>
            </w:pPr>
            <w:r>
              <w:rPr>
                <w:rFonts w:ascii="Times New Roman" w:hAnsi="Times New Roman"/>
                <w:b w:val="0"/>
                <w:bCs w:val="0"/>
                <w:color w:val="auto"/>
                <w:sz w:val="21"/>
                <w:szCs w:val="21"/>
              </w:rPr>
              <w:t>同相序</w:t>
            </w:r>
          </w:p>
        </w:tc>
        <w:tc>
          <w:tcPr>
            <w:tcW w:w="2085" w:type="dxa"/>
            <w:vAlign w:val="center"/>
          </w:tcPr>
          <w:p>
            <w:pPr>
              <w:jc w:val="center"/>
              <w:rPr>
                <w:rFonts w:ascii="Times New Roman" w:hAnsi="Times New Roman"/>
                <w:color w:val="auto"/>
                <w:sz w:val="21"/>
                <w:szCs w:val="21"/>
              </w:rPr>
            </w:pPr>
            <w:r>
              <w:rPr>
                <w:rFonts w:ascii="Times New Roman" w:hAnsi="Times New Roman"/>
                <w:b w:val="0"/>
                <w:bCs w:val="0"/>
                <w:color w:val="auto"/>
                <w:sz w:val="21"/>
                <w:szCs w:val="21"/>
              </w:rPr>
              <w:t>逆相序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Merge w:val="continue"/>
            <w:vAlign w:val="center"/>
          </w:tcPr>
          <w:p>
            <w:pPr>
              <w:jc w:val="center"/>
              <w:rPr>
                <w:rFonts w:ascii="Times New Roman" w:hAnsi="Times New Roman"/>
                <w:bCs/>
                <w:color w:val="auto"/>
                <w:sz w:val="21"/>
                <w:szCs w:val="21"/>
              </w:rPr>
            </w:pPr>
          </w:p>
        </w:tc>
        <w:tc>
          <w:tcPr>
            <w:tcW w:w="1911" w:type="dxa"/>
            <w:vAlign w:val="center"/>
          </w:tcPr>
          <w:p>
            <w:pPr>
              <w:jc w:val="center"/>
              <w:rPr>
                <w:color w:val="auto"/>
                <w:sz w:val="21"/>
                <w:szCs w:val="21"/>
              </w:rPr>
            </w:pPr>
            <w:r>
              <w:rPr>
                <w:rFonts w:ascii="Times New Roman" w:hAnsi="Times New Roman"/>
                <w:bCs/>
                <w:color w:val="auto"/>
                <w:sz w:val="21"/>
                <w:szCs w:val="21"/>
              </w:rPr>
              <w:t>对地高度</w:t>
            </w:r>
            <w:r>
              <w:rPr>
                <w:rFonts w:hint="eastAsia" w:ascii="Times New Roman" w:hAnsi="Times New Roman"/>
                <w:bCs/>
                <w:color w:val="auto"/>
                <w:sz w:val="21"/>
                <w:szCs w:val="21"/>
              </w:rPr>
              <w:t>1</w:t>
            </w:r>
            <w:r>
              <w:rPr>
                <w:rFonts w:hint="eastAsia" w:ascii="Times New Roman" w:hAnsi="Times New Roman"/>
                <w:bCs/>
                <w:color w:val="auto"/>
                <w:sz w:val="21"/>
                <w:szCs w:val="21"/>
                <w:lang w:val="en-US" w:eastAsia="zh-CN"/>
              </w:rPr>
              <w:t>0</w:t>
            </w:r>
            <w:r>
              <w:rPr>
                <w:rFonts w:ascii="Times New Roman" w:hAnsi="Times New Roman"/>
                <w:bCs/>
                <w:color w:val="auto"/>
                <w:sz w:val="21"/>
                <w:szCs w:val="21"/>
              </w:rPr>
              <w:t>m（μT）</w:t>
            </w:r>
          </w:p>
        </w:tc>
        <w:tc>
          <w:tcPr>
            <w:tcW w:w="2022" w:type="dxa"/>
            <w:vAlign w:val="center"/>
          </w:tcPr>
          <w:p>
            <w:pPr>
              <w:jc w:val="center"/>
              <w:rPr>
                <w:color w:val="auto"/>
                <w:sz w:val="21"/>
                <w:szCs w:val="21"/>
              </w:rPr>
            </w:pPr>
            <w:r>
              <w:rPr>
                <w:rFonts w:ascii="Times New Roman" w:hAnsi="Times New Roman"/>
                <w:bCs/>
                <w:color w:val="auto"/>
                <w:sz w:val="21"/>
                <w:szCs w:val="21"/>
              </w:rPr>
              <w:t>对地高度</w:t>
            </w:r>
            <w:r>
              <w:rPr>
                <w:rFonts w:hint="eastAsia" w:ascii="Times New Roman" w:hAnsi="Times New Roman"/>
                <w:bCs/>
                <w:color w:val="auto"/>
                <w:sz w:val="21"/>
                <w:szCs w:val="21"/>
              </w:rPr>
              <w:t>1</w:t>
            </w:r>
            <w:r>
              <w:rPr>
                <w:rFonts w:hint="eastAsia" w:ascii="Times New Roman" w:hAnsi="Times New Roman"/>
                <w:bCs/>
                <w:color w:val="auto"/>
                <w:sz w:val="21"/>
                <w:szCs w:val="21"/>
                <w:lang w:val="en-US" w:eastAsia="zh-CN"/>
              </w:rPr>
              <w:t>1</w:t>
            </w:r>
            <w:r>
              <w:rPr>
                <w:rFonts w:ascii="Times New Roman" w:hAnsi="Times New Roman"/>
                <w:bCs/>
                <w:color w:val="auto"/>
                <w:sz w:val="21"/>
                <w:szCs w:val="21"/>
              </w:rPr>
              <w:t>m（μT）</w:t>
            </w:r>
          </w:p>
        </w:tc>
        <w:tc>
          <w:tcPr>
            <w:tcW w:w="2085"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对地高度</w:t>
            </w:r>
            <w:r>
              <w:rPr>
                <w:rFonts w:hint="eastAsia" w:ascii="Times New Roman" w:hAnsi="Times New Roman"/>
                <w:color w:val="auto"/>
                <w:sz w:val="21"/>
                <w:szCs w:val="21"/>
              </w:rPr>
              <w:t>1</w:t>
            </w:r>
            <w:r>
              <w:rPr>
                <w:rFonts w:hint="eastAsia" w:ascii="Times New Roman" w:hAnsi="Times New Roman"/>
                <w:color w:val="auto"/>
                <w:sz w:val="21"/>
                <w:szCs w:val="21"/>
                <w:lang w:val="en-US" w:eastAsia="zh-CN"/>
              </w:rPr>
              <w:t>0</w:t>
            </w:r>
            <w:r>
              <w:rPr>
                <w:rFonts w:ascii="Times New Roman" w:hAnsi="Times New Roman"/>
                <w:color w:val="auto"/>
                <w:sz w:val="21"/>
                <w:szCs w:val="21"/>
              </w:rPr>
              <w:t>m（μT）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0</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15.847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15.286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15.847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1</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15.890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15.310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15.890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2</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16.012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15.377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16.012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3</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16.188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15.471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16.188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4</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16.380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15.567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16.380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5</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16.543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15.637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16.543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6</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16.629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15.651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16.629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7</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16.604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15.588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16.604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8</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16.450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15.436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16.450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9</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16.170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15.196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16.170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10</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15.785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14.879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15.785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15</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13.237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12.743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13.237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20</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10.998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10.733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10.998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25</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9.346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9.185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9.346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30</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8.106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8.000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8.106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35</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7.145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7.070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7.145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40</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6.378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6.324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6.378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2684" w:type="dxa"/>
            <w:vAlign w:val="center"/>
          </w:tcPr>
          <w:p>
            <w:pPr>
              <w:jc w:val="center"/>
              <w:rPr>
                <w:rFonts w:ascii="Times New Roman" w:hAnsi="Times New Roman"/>
                <w:bCs/>
                <w:color w:val="auto"/>
                <w:sz w:val="21"/>
                <w:szCs w:val="21"/>
              </w:rPr>
            </w:pPr>
            <w:r>
              <w:rPr>
                <w:rFonts w:ascii="Times New Roman" w:hAnsi="Times New Roman"/>
                <w:bCs/>
                <w:color w:val="auto"/>
                <w:sz w:val="21"/>
                <w:szCs w:val="21"/>
              </w:rPr>
              <w:t>45</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5.753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5.713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5.753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84" w:type="dxa"/>
            <w:vAlign w:val="center"/>
          </w:tcPr>
          <w:p>
            <w:pPr>
              <w:jc w:val="center"/>
              <w:rPr>
                <w:rFonts w:hint="eastAsia" w:ascii="Times New Roman" w:hAnsi="Times New Roman"/>
                <w:bCs/>
                <w:color w:val="auto"/>
                <w:sz w:val="21"/>
                <w:szCs w:val="21"/>
              </w:rPr>
            </w:pPr>
            <w:r>
              <w:rPr>
                <w:rFonts w:hint="eastAsia" w:ascii="Times New Roman" w:hAnsi="Times New Roman"/>
                <w:bCs/>
                <w:color w:val="auto"/>
                <w:sz w:val="21"/>
                <w:szCs w:val="21"/>
              </w:rPr>
              <w:t>47（评价范围边界为46.</w:t>
            </w:r>
            <w:r>
              <w:rPr>
                <w:rFonts w:hint="eastAsia" w:ascii="Times New Roman" w:hAnsi="Times New Roman"/>
                <w:bCs/>
                <w:color w:val="auto"/>
                <w:sz w:val="21"/>
                <w:szCs w:val="21"/>
                <w:lang w:val="en-US" w:eastAsia="zh-CN"/>
              </w:rPr>
              <w:t>5</w:t>
            </w:r>
            <w:r>
              <w:rPr>
                <w:rFonts w:hint="eastAsia" w:ascii="Times New Roman" w:hAnsi="Times New Roman"/>
                <w:bCs/>
                <w:color w:val="auto"/>
                <w:sz w:val="21"/>
                <w:szCs w:val="21"/>
              </w:rPr>
              <w:t>）</w:t>
            </w:r>
          </w:p>
        </w:tc>
        <w:tc>
          <w:tcPr>
            <w:tcW w:w="1911"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5.535 </w:t>
            </w:r>
          </w:p>
        </w:tc>
        <w:tc>
          <w:tcPr>
            <w:tcW w:w="2022" w:type="dxa"/>
            <w:vAlign w:val="center"/>
          </w:tcPr>
          <w:p>
            <w:pPr>
              <w:jc w:val="center"/>
              <w:rPr>
                <w:color w:val="auto"/>
                <w:sz w:val="21"/>
                <w:szCs w:val="21"/>
              </w:rPr>
            </w:pPr>
            <w:r>
              <w:rPr>
                <w:rFonts w:hint="eastAsia" w:ascii="Times New Roman" w:hAnsi="Times New Roman"/>
                <w:bCs/>
                <w:color w:val="auto"/>
                <w:sz w:val="21"/>
                <w:szCs w:val="21"/>
                <w:lang w:val="en-US" w:eastAsia="zh-CN"/>
              </w:rPr>
              <w:t xml:space="preserve">5.499 </w:t>
            </w:r>
          </w:p>
        </w:tc>
        <w:tc>
          <w:tcPr>
            <w:tcW w:w="2085" w:type="dxa"/>
            <w:vAlign w:val="center"/>
          </w:tcPr>
          <w:p>
            <w:pPr>
              <w:jc w:val="center"/>
              <w:rPr>
                <w:rFonts w:ascii="Times New Roman" w:hAnsi="Times New Roman"/>
                <w:bCs/>
                <w:color w:val="auto"/>
                <w:sz w:val="21"/>
                <w:szCs w:val="21"/>
              </w:rPr>
            </w:pPr>
            <w:r>
              <w:rPr>
                <w:rFonts w:hint="eastAsia" w:ascii="Times New Roman" w:hAnsi="Times New Roman"/>
                <w:bCs/>
                <w:color w:val="auto"/>
                <w:sz w:val="21"/>
                <w:szCs w:val="21"/>
                <w:lang w:val="en-US" w:eastAsia="zh-CN"/>
              </w:rPr>
              <w:t xml:space="preserve">5.535 </w:t>
            </w:r>
          </w:p>
        </w:tc>
      </w:tr>
    </w:tbl>
    <w:p>
      <w:pPr>
        <w:spacing w:line="360" w:lineRule="auto"/>
        <w:ind w:firstLine="420" w:firstLineChars="200"/>
        <w:rPr>
          <w:rFonts w:hint="eastAsia" w:ascii="Times New Roman" w:hAnsi="Times New Roman"/>
          <w:color w:val="auto"/>
        </w:rPr>
      </w:pPr>
      <w:r>
        <w:rPr>
          <w:rFonts w:ascii="Times New Roman" w:hAnsi="Times New Roman"/>
          <w:color w:val="auto"/>
        </w:rPr>
        <w:t>从表</w:t>
      </w:r>
      <w:r>
        <w:rPr>
          <w:rFonts w:hint="eastAsia" w:ascii="Times New Roman" w:hAnsi="Times New Roman"/>
          <w:color w:val="auto"/>
        </w:rPr>
        <w:t>3-</w:t>
      </w:r>
      <w:r>
        <w:rPr>
          <w:rFonts w:hint="eastAsia" w:ascii="Times New Roman" w:hAnsi="Times New Roman"/>
          <w:color w:val="auto"/>
          <w:lang w:val="en-US" w:eastAsia="zh-CN"/>
        </w:rPr>
        <w:t>5</w:t>
      </w:r>
      <w:r>
        <w:rPr>
          <w:rFonts w:ascii="Times New Roman" w:hAnsi="Times New Roman"/>
          <w:color w:val="auto"/>
        </w:rPr>
        <w:t>中预测结果可知，在</w:t>
      </w:r>
      <w:r>
        <w:rPr>
          <w:rFonts w:hint="eastAsia" w:ascii="Times New Roman" w:hAnsi="Times New Roman"/>
          <w:color w:val="auto"/>
        </w:rPr>
        <w:t>22</w:t>
      </w:r>
      <w:r>
        <w:rPr>
          <w:rFonts w:ascii="Times New Roman" w:hAnsi="Times New Roman"/>
          <w:color w:val="auto"/>
        </w:rPr>
        <w:t>0kV双回架空输电线路同相序排列情况下：线路导线对地净空高度为</w:t>
      </w:r>
      <w:r>
        <w:rPr>
          <w:rFonts w:hint="eastAsia" w:ascii="Times New Roman" w:hAnsi="Times New Roman"/>
          <w:color w:val="auto"/>
        </w:rPr>
        <w:t>1</w:t>
      </w:r>
      <w:r>
        <w:rPr>
          <w:rFonts w:hint="eastAsia" w:ascii="Times New Roman" w:hAnsi="Times New Roman"/>
          <w:color w:val="auto"/>
          <w:lang w:val="en-US" w:eastAsia="zh-CN"/>
        </w:rPr>
        <w:t>0</w:t>
      </w:r>
      <w:r>
        <w:rPr>
          <w:rFonts w:ascii="Times New Roman" w:hAnsi="Times New Roman"/>
          <w:color w:val="auto"/>
        </w:rPr>
        <w:t>m时，在地面1.5m高度处产生的最大工频磁感应强度</w:t>
      </w:r>
      <w:r>
        <w:rPr>
          <w:rFonts w:hint="eastAsia" w:ascii="Times New Roman" w:hAnsi="Times New Roman"/>
          <w:color w:val="auto"/>
        </w:rPr>
        <w:t>1</w:t>
      </w:r>
      <w:r>
        <w:rPr>
          <w:rFonts w:hint="eastAsia" w:ascii="Times New Roman" w:hAnsi="Times New Roman"/>
          <w:color w:val="auto"/>
          <w:lang w:val="en-US" w:eastAsia="zh-CN"/>
        </w:rPr>
        <w:t>6.629</w:t>
      </w:r>
      <w:r>
        <w:rPr>
          <w:rFonts w:ascii="Times New Roman" w:hAnsi="Times New Roman"/>
          <w:color w:val="auto"/>
        </w:rPr>
        <w:t>μT</w:t>
      </w:r>
      <w:r>
        <w:rPr>
          <w:rFonts w:hint="eastAsia" w:ascii="Times New Roman" w:hAnsi="Times New Roman"/>
          <w:color w:val="auto"/>
        </w:rPr>
        <w:t>，</w:t>
      </w:r>
      <w:r>
        <w:rPr>
          <w:rFonts w:ascii="Times New Roman" w:hAnsi="Times New Roman"/>
          <w:color w:val="auto"/>
        </w:rPr>
        <w:t>产生的工频磁感应强度小于标准100μT限值</w:t>
      </w:r>
      <w:r>
        <w:rPr>
          <w:rFonts w:hint="eastAsia" w:ascii="Times New Roman" w:hAnsi="Times New Roman"/>
          <w:color w:val="auto"/>
          <w:lang w:eastAsia="zh-CN"/>
        </w:rPr>
        <w:t>；</w:t>
      </w:r>
      <w:r>
        <w:rPr>
          <w:rFonts w:ascii="Times New Roman" w:hAnsi="Times New Roman"/>
          <w:color w:val="auto"/>
        </w:rPr>
        <w:t>当导线对地净空高度为</w:t>
      </w:r>
      <w:r>
        <w:rPr>
          <w:rFonts w:hint="eastAsia" w:ascii="Times New Roman" w:hAnsi="Times New Roman"/>
          <w:color w:val="auto"/>
        </w:rPr>
        <w:t>1</w:t>
      </w:r>
      <w:r>
        <w:rPr>
          <w:rFonts w:hint="eastAsia" w:ascii="Times New Roman" w:hAnsi="Times New Roman"/>
          <w:color w:val="auto"/>
          <w:lang w:val="en-US" w:eastAsia="zh-CN"/>
        </w:rPr>
        <w:t>1</w:t>
      </w:r>
      <w:r>
        <w:rPr>
          <w:rFonts w:ascii="Times New Roman" w:hAnsi="Times New Roman"/>
          <w:color w:val="auto"/>
        </w:rPr>
        <w:t>m时，在地面1.5m高度处产生的最大工频磁感应强度</w:t>
      </w:r>
      <w:r>
        <w:rPr>
          <w:rFonts w:hint="eastAsia" w:ascii="Times New Roman" w:hAnsi="Times New Roman"/>
          <w:color w:val="auto"/>
        </w:rPr>
        <w:t>1</w:t>
      </w:r>
      <w:r>
        <w:rPr>
          <w:rFonts w:hint="eastAsia" w:ascii="Times New Roman" w:hAnsi="Times New Roman"/>
          <w:color w:val="auto"/>
          <w:lang w:val="en-US" w:eastAsia="zh-CN"/>
        </w:rPr>
        <w:t>5.651</w:t>
      </w:r>
      <w:r>
        <w:rPr>
          <w:rFonts w:ascii="Times New Roman" w:hAnsi="Times New Roman"/>
          <w:color w:val="auto"/>
        </w:rPr>
        <w:t>μT</w:t>
      </w:r>
      <w:r>
        <w:rPr>
          <w:rFonts w:hint="eastAsia" w:ascii="Times New Roman" w:hAnsi="Times New Roman"/>
          <w:color w:val="auto"/>
        </w:rPr>
        <w:t>，</w:t>
      </w:r>
      <w:r>
        <w:rPr>
          <w:rFonts w:ascii="Times New Roman" w:hAnsi="Times New Roman"/>
          <w:color w:val="auto"/>
        </w:rPr>
        <w:t>产生的工频磁感应强度小于标准100μT限值。在</w:t>
      </w:r>
      <w:r>
        <w:rPr>
          <w:rFonts w:hint="eastAsia" w:ascii="Times New Roman" w:hAnsi="Times New Roman"/>
          <w:color w:val="auto"/>
        </w:rPr>
        <w:t>22</w:t>
      </w:r>
      <w:r>
        <w:rPr>
          <w:rFonts w:ascii="Times New Roman" w:hAnsi="Times New Roman"/>
          <w:color w:val="auto"/>
        </w:rPr>
        <w:t>0kV双回架空输电线路逆相序排列情况下：线路导线对地净空高度为</w:t>
      </w:r>
      <w:r>
        <w:rPr>
          <w:rFonts w:hint="eastAsia" w:ascii="Times New Roman" w:hAnsi="Times New Roman"/>
          <w:color w:val="auto"/>
        </w:rPr>
        <w:t>1</w:t>
      </w:r>
      <w:r>
        <w:rPr>
          <w:rFonts w:hint="eastAsia" w:ascii="Times New Roman" w:hAnsi="Times New Roman"/>
          <w:color w:val="auto"/>
          <w:lang w:val="en-US" w:eastAsia="zh-CN"/>
        </w:rPr>
        <w:t>0</w:t>
      </w:r>
      <w:r>
        <w:rPr>
          <w:rFonts w:ascii="Times New Roman" w:hAnsi="Times New Roman"/>
          <w:color w:val="auto"/>
        </w:rPr>
        <w:t>m时，在地面1.5m高度处产生的最大工频磁感应强度</w:t>
      </w:r>
      <w:r>
        <w:rPr>
          <w:rFonts w:hint="eastAsia" w:ascii="Times New Roman" w:hAnsi="Times New Roman"/>
          <w:color w:val="auto"/>
        </w:rPr>
        <w:t>1</w:t>
      </w:r>
      <w:r>
        <w:rPr>
          <w:rFonts w:hint="eastAsia" w:ascii="Times New Roman" w:hAnsi="Times New Roman"/>
          <w:color w:val="auto"/>
          <w:lang w:val="en-US" w:eastAsia="zh-CN"/>
        </w:rPr>
        <w:t>6.629</w:t>
      </w:r>
      <w:r>
        <w:rPr>
          <w:rFonts w:ascii="Times New Roman" w:hAnsi="Times New Roman"/>
          <w:color w:val="auto"/>
        </w:rPr>
        <w:t>μT</w:t>
      </w:r>
      <w:r>
        <w:rPr>
          <w:rFonts w:hint="eastAsia" w:ascii="Times New Roman" w:hAnsi="Times New Roman"/>
          <w:color w:val="auto"/>
        </w:rPr>
        <w:t>，</w:t>
      </w:r>
      <w:r>
        <w:rPr>
          <w:rFonts w:ascii="Times New Roman" w:hAnsi="Times New Roman"/>
          <w:color w:val="auto"/>
        </w:rPr>
        <w:t>产生的工频磁感应强度小于标准100μT限值。</w:t>
      </w:r>
    </w:p>
    <w:p>
      <w:pPr>
        <w:spacing w:line="360" w:lineRule="auto"/>
        <w:ind w:firstLine="420" w:firstLineChars="200"/>
        <w:rPr>
          <w:rFonts w:hint="eastAsia" w:ascii="Times New Roman" w:hAnsi="Times New Roman"/>
          <w:color w:val="auto"/>
        </w:rPr>
      </w:pPr>
      <w:r>
        <w:rPr>
          <w:rFonts w:hint="eastAsia" w:ascii="Times New Roman" w:hAnsi="Times New Roman"/>
          <w:color w:val="auto"/>
        </w:rPr>
        <w:t>综上所述，</w:t>
      </w:r>
      <w:r>
        <w:rPr>
          <w:rFonts w:ascii="Times New Roman" w:hAnsi="Times New Roman"/>
          <w:color w:val="auto"/>
        </w:rPr>
        <w:t>当导线对地高度为</w:t>
      </w:r>
      <w:r>
        <w:rPr>
          <w:rFonts w:hint="eastAsia" w:ascii="Times New Roman" w:hAnsi="Times New Roman"/>
          <w:color w:val="auto"/>
        </w:rPr>
        <w:t>1</w:t>
      </w:r>
      <w:r>
        <w:rPr>
          <w:rFonts w:hint="eastAsia" w:ascii="Times New Roman" w:hAnsi="Times New Roman"/>
          <w:color w:val="auto"/>
          <w:lang w:val="en-US" w:eastAsia="zh-CN"/>
        </w:rPr>
        <w:t>1</w:t>
      </w:r>
      <w:r>
        <w:rPr>
          <w:rFonts w:ascii="Times New Roman" w:hAnsi="Times New Roman"/>
          <w:color w:val="auto"/>
        </w:rPr>
        <w:t>m时，不论排列方式如何，</w:t>
      </w:r>
      <w:r>
        <w:rPr>
          <w:rFonts w:hint="eastAsia" w:ascii="Times New Roman" w:hAnsi="Times New Roman"/>
          <w:color w:val="auto"/>
        </w:rPr>
        <w:t>22</w:t>
      </w:r>
      <w:r>
        <w:rPr>
          <w:rFonts w:ascii="Times New Roman" w:hAnsi="Times New Roman"/>
          <w:color w:val="auto"/>
        </w:rPr>
        <w:t>0kV线路在地面1.5m高度处运行产生的</w:t>
      </w:r>
      <w:r>
        <w:rPr>
          <w:rFonts w:ascii="Times New Roman" w:hAnsi="Times New Roman"/>
          <w:bCs/>
          <w:color w:val="auto"/>
        </w:rPr>
        <w:t>工频电场强度均小于</w:t>
      </w:r>
      <w:r>
        <w:rPr>
          <w:rFonts w:hint="eastAsia" w:ascii="Times New Roman" w:hAnsi="Times New Roman"/>
          <w:bCs/>
          <w:color w:val="auto"/>
        </w:rPr>
        <w:t>4kV/m</w:t>
      </w:r>
      <w:r>
        <w:rPr>
          <w:rFonts w:ascii="Times New Roman" w:hAnsi="Times New Roman"/>
          <w:bCs/>
          <w:color w:val="auto"/>
        </w:rPr>
        <w:t>标准</w:t>
      </w:r>
      <w:r>
        <w:rPr>
          <w:rFonts w:hint="eastAsia" w:ascii="Times New Roman" w:hAnsi="Times New Roman"/>
          <w:bCs/>
          <w:color w:val="auto"/>
        </w:rPr>
        <w:t>限值</w:t>
      </w:r>
      <w:r>
        <w:rPr>
          <w:rFonts w:ascii="Times New Roman" w:hAnsi="Times New Roman"/>
          <w:bCs/>
          <w:color w:val="auto"/>
        </w:rPr>
        <w:t>要求；</w:t>
      </w:r>
      <w:r>
        <w:rPr>
          <w:rFonts w:ascii="Times New Roman" w:hAnsi="Times New Roman"/>
          <w:color w:val="auto"/>
        </w:rPr>
        <w:t>工频磁感应强度均小于100μT</w:t>
      </w:r>
      <w:r>
        <w:rPr>
          <w:rFonts w:ascii="Times New Roman" w:hAnsi="Times New Roman"/>
          <w:bCs/>
          <w:color w:val="auto"/>
        </w:rPr>
        <w:t>标准</w:t>
      </w:r>
      <w:r>
        <w:rPr>
          <w:rFonts w:hint="eastAsia" w:ascii="Times New Roman" w:hAnsi="Times New Roman"/>
          <w:bCs/>
          <w:color w:val="auto"/>
        </w:rPr>
        <w:t>限值</w:t>
      </w:r>
      <w:r>
        <w:rPr>
          <w:rFonts w:ascii="Times New Roman" w:hAnsi="Times New Roman"/>
          <w:color w:val="auto"/>
        </w:rPr>
        <w:t>要求。</w:t>
      </w:r>
    </w:p>
    <w:p>
      <w:pPr>
        <w:spacing w:line="360" w:lineRule="auto"/>
        <w:ind w:firstLine="420" w:firstLineChars="200"/>
        <w:rPr>
          <w:rFonts w:hint="eastAsia" w:ascii="Times New Roman" w:hAnsi="Times New Roman"/>
          <w:color w:val="auto"/>
        </w:rPr>
      </w:pPr>
      <w:r>
        <w:rPr>
          <w:rFonts w:hint="eastAsia" w:ascii="Times New Roman" w:hAnsi="Times New Roman"/>
          <w:color w:val="auto"/>
        </w:rPr>
        <w:t>③环境保护目标电磁环境预测</w:t>
      </w:r>
    </w:p>
    <w:p>
      <w:pPr>
        <w:spacing w:line="360" w:lineRule="auto"/>
        <w:ind w:firstLine="420" w:firstLineChars="200"/>
        <w:rPr>
          <w:rFonts w:hint="eastAsia" w:ascii="Times New Roman" w:hAnsi="Times New Roman"/>
          <w:bCs/>
          <w:color w:val="auto"/>
        </w:rPr>
      </w:pPr>
      <w:r>
        <w:rPr>
          <w:rFonts w:hint="eastAsia" w:ascii="Times New Roman" w:hAnsi="Times New Roman"/>
          <w:bCs/>
          <w:color w:val="auto"/>
          <w:lang w:eastAsia="zh-CN"/>
        </w:rPr>
        <w:t>经现场调查，本工程线路</w:t>
      </w:r>
      <w:r>
        <w:rPr>
          <w:rFonts w:hint="eastAsia" w:ascii="Times New Roman" w:hAnsi="Times New Roman"/>
          <w:bCs/>
          <w:color w:val="auto"/>
          <w:lang w:val="en-US" w:eastAsia="zh-CN"/>
        </w:rPr>
        <w:t>沿线环境保护目标多为1~4层尖、平顶民房，</w:t>
      </w:r>
      <w:r>
        <w:rPr>
          <w:rFonts w:hint="eastAsia" w:ascii="Times New Roman" w:hAnsi="Times New Roman"/>
          <w:bCs/>
          <w:color w:val="auto"/>
          <w:lang w:eastAsia="zh-CN"/>
        </w:rPr>
        <w:t>且存在跨越民房及距民房最近处约</w:t>
      </w:r>
      <w:r>
        <w:rPr>
          <w:rFonts w:hint="eastAsia" w:ascii="Times New Roman" w:hAnsi="Times New Roman"/>
          <w:bCs/>
          <w:color w:val="auto"/>
          <w:lang w:val="en-US" w:eastAsia="zh-CN"/>
        </w:rPr>
        <w:t>2m的情况。因此</w:t>
      </w:r>
      <w:r>
        <w:rPr>
          <w:rFonts w:hint="eastAsia" w:ascii="Times New Roman" w:hAnsi="Times New Roman"/>
          <w:bCs/>
          <w:color w:val="auto"/>
          <w:lang w:eastAsia="zh-CN"/>
        </w:rPr>
        <w:t>本次除预测了线路沿线环境保护目标距地面</w:t>
      </w:r>
      <w:r>
        <w:rPr>
          <w:rFonts w:hint="eastAsia" w:ascii="Times New Roman" w:hAnsi="Times New Roman"/>
          <w:bCs/>
          <w:color w:val="auto"/>
          <w:lang w:val="en-US" w:eastAsia="zh-CN"/>
        </w:rPr>
        <w:t>1.5m</w:t>
      </w:r>
      <w:r>
        <w:rPr>
          <w:rFonts w:hint="eastAsia" w:ascii="Times New Roman" w:hAnsi="Times New Roman"/>
          <w:bCs/>
          <w:color w:val="auto"/>
          <w:lang w:eastAsia="zh-CN"/>
        </w:rPr>
        <w:t>处的工频电磁强度、工频磁感应强度外，还预测了线路跨越民房、线路边导线外</w:t>
      </w:r>
      <w:r>
        <w:rPr>
          <w:rFonts w:hint="eastAsia" w:ascii="Times New Roman" w:hAnsi="Times New Roman"/>
          <w:bCs/>
          <w:color w:val="auto"/>
          <w:lang w:val="en-US" w:eastAsia="zh-CN"/>
        </w:rPr>
        <w:t>2</w:t>
      </w:r>
      <w:r>
        <w:rPr>
          <w:rFonts w:hint="eastAsia" w:ascii="Times New Roman" w:hAnsi="Times New Roman"/>
          <w:bCs/>
          <w:color w:val="auto"/>
          <w:lang w:eastAsia="zh-CN"/>
        </w:rPr>
        <w:t>m处有民房时，不同高度（一至四层楼顶）处的工频电磁强度、工频磁感应强度。具体情况见表</w:t>
      </w:r>
      <w:r>
        <w:rPr>
          <w:rFonts w:hint="eastAsia" w:ascii="Times New Roman" w:hAnsi="Times New Roman"/>
          <w:bCs/>
          <w:color w:val="auto"/>
          <w:lang w:val="en-US" w:eastAsia="zh-CN"/>
        </w:rPr>
        <w:t>3.6和表3.7。</w:t>
      </w:r>
    </w:p>
    <w:p>
      <w:pPr>
        <w:jc w:val="center"/>
        <w:rPr>
          <w:rFonts w:ascii="Times New Roman" w:hAnsi="Times New Roman"/>
          <w:b/>
          <w:color w:val="auto"/>
        </w:rPr>
      </w:pPr>
    </w:p>
    <w:p>
      <w:pPr>
        <w:jc w:val="center"/>
        <w:rPr>
          <w:rFonts w:ascii="Times New Roman" w:hAnsi="Times New Roman"/>
          <w:b/>
          <w:color w:val="auto"/>
        </w:rPr>
      </w:pPr>
      <w:r>
        <w:rPr>
          <w:rFonts w:ascii="Times New Roman" w:hAnsi="Times New Roman"/>
          <w:b/>
          <w:color w:val="auto"/>
        </w:rPr>
        <w:t>表3-</w:t>
      </w:r>
      <w:r>
        <w:rPr>
          <w:rFonts w:hint="eastAsia" w:ascii="Times New Roman" w:hAnsi="Times New Roman"/>
          <w:b/>
          <w:color w:val="auto"/>
          <w:lang w:val="en-US" w:eastAsia="zh-CN"/>
        </w:rPr>
        <w:t xml:space="preserve">6 </w:t>
      </w:r>
      <w:r>
        <w:rPr>
          <w:rFonts w:ascii="Times New Roman" w:hAnsi="Times New Roman"/>
          <w:b/>
          <w:color w:val="auto"/>
        </w:rPr>
        <w:t>环境保护目标电磁环境预测</w:t>
      </w:r>
      <w:r>
        <w:rPr>
          <w:rFonts w:hint="eastAsia" w:ascii="Times New Roman" w:hAnsi="Times New Roman"/>
          <w:b/>
          <w:color w:val="auto"/>
        </w:rPr>
        <w:t>结果（叠加现状值）</w:t>
      </w:r>
    </w:p>
    <w:tbl>
      <w:tblPr>
        <w:tblStyle w:val="50"/>
        <w:tblW w:w="90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0"/>
        <w:gridCol w:w="1560"/>
        <w:gridCol w:w="1395"/>
        <w:gridCol w:w="1530"/>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3200" w:type="dxa"/>
            <w:vMerge w:val="restart"/>
            <w:vAlign w:val="center"/>
          </w:tcPr>
          <w:p>
            <w:pPr>
              <w:jc w:val="center"/>
              <w:rPr>
                <w:rFonts w:ascii="Times New Roman" w:hAnsi="Times New Roman"/>
                <w:color w:val="auto"/>
                <w:sz w:val="18"/>
                <w:szCs w:val="18"/>
              </w:rPr>
            </w:pPr>
            <w:r>
              <w:rPr>
                <w:rFonts w:ascii="Times New Roman" w:hAnsi="Times New Roman"/>
                <w:color w:val="auto"/>
                <w:sz w:val="18"/>
                <w:szCs w:val="18"/>
              </w:rPr>
              <w:t>环境保护目标</w:t>
            </w:r>
          </w:p>
        </w:tc>
        <w:tc>
          <w:tcPr>
            <w:tcW w:w="2955" w:type="dxa"/>
            <w:gridSpan w:val="2"/>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同塔双回同相序预测</w:t>
            </w:r>
          </w:p>
        </w:tc>
        <w:tc>
          <w:tcPr>
            <w:tcW w:w="2883" w:type="dxa"/>
            <w:gridSpan w:val="2"/>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同塔双回逆相序预测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3200" w:type="dxa"/>
            <w:vMerge w:val="continue"/>
            <w:vAlign w:val="center"/>
          </w:tcPr>
          <w:p>
            <w:pPr>
              <w:jc w:val="center"/>
              <w:rPr>
                <w:rFonts w:ascii="Times New Roman" w:hAnsi="Times New Roman"/>
                <w:color w:val="auto"/>
                <w:sz w:val="18"/>
                <w:szCs w:val="18"/>
              </w:rPr>
            </w:pPr>
          </w:p>
        </w:tc>
        <w:tc>
          <w:tcPr>
            <w:tcW w:w="2955" w:type="dxa"/>
            <w:gridSpan w:val="2"/>
            <w:vAlign w:val="center"/>
          </w:tcPr>
          <w:p>
            <w:pPr>
              <w:jc w:val="center"/>
              <w:rPr>
                <w:rFonts w:ascii="Times New Roman" w:hAnsi="Times New Roman"/>
                <w:bCs/>
                <w:color w:val="auto"/>
                <w:sz w:val="18"/>
                <w:szCs w:val="18"/>
              </w:rPr>
            </w:pPr>
            <w:r>
              <w:rPr>
                <w:rFonts w:ascii="Times New Roman" w:hAnsi="Times New Roman"/>
                <w:bCs/>
                <w:color w:val="auto"/>
                <w:sz w:val="18"/>
                <w:szCs w:val="18"/>
              </w:rPr>
              <w:t>对地高度</w:t>
            </w:r>
            <w:r>
              <w:rPr>
                <w:rFonts w:hint="eastAsia" w:ascii="Times New Roman" w:hAnsi="Times New Roman"/>
                <w:color w:val="auto"/>
                <w:sz w:val="18"/>
                <w:szCs w:val="18"/>
              </w:rPr>
              <w:t>1</w:t>
            </w:r>
            <w:r>
              <w:rPr>
                <w:rFonts w:hint="eastAsia" w:ascii="Times New Roman" w:hAnsi="Times New Roman"/>
                <w:color w:val="auto"/>
                <w:sz w:val="18"/>
                <w:szCs w:val="18"/>
                <w:lang w:val="en-US" w:eastAsia="zh-CN"/>
              </w:rPr>
              <w:t>1</w:t>
            </w:r>
            <w:r>
              <w:rPr>
                <w:rFonts w:ascii="Times New Roman" w:hAnsi="Times New Roman"/>
                <w:color w:val="auto"/>
                <w:sz w:val="18"/>
                <w:szCs w:val="18"/>
              </w:rPr>
              <w:t>m</w:t>
            </w:r>
          </w:p>
        </w:tc>
        <w:tc>
          <w:tcPr>
            <w:tcW w:w="2883" w:type="dxa"/>
            <w:gridSpan w:val="2"/>
            <w:vAlign w:val="center"/>
          </w:tcPr>
          <w:p>
            <w:pPr>
              <w:jc w:val="center"/>
              <w:rPr>
                <w:rFonts w:ascii="Times New Roman" w:hAnsi="Times New Roman"/>
                <w:bCs/>
                <w:color w:val="auto"/>
                <w:sz w:val="18"/>
                <w:szCs w:val="18"/>
              </w:rPr>
            </w:pPr>
            <w:r>
              <w:rPr>
                <w:rFonts w:ascii="Times New Roman" w:hAnsi="Times New Roman"/>
                <w:bCs/>
                <w:color w:val="auto"/>
                <w:sz w:val="18"/>
                <w:szCs w:val="18"/>
              </w:rPr>
              <w:t>对地高度</w:t>
            </w:r>
            <w:r>
              <w:rPr>
                <w:rFonts w:hint="eastAsia" w:ascii="Times New Roman" w:hAnsi="Times New Roman"/>
                <w:color w:val="auto"/>
                <w:sz w:val="18"/>
                <w:szCs w:val="18"/>
              </w:rPr>
              <w:t>1</w:t>
            </w:r>
            <w:r>
              <w:rPr>
                <w:rFonts w:hint="eastAsia" w:ascii="Times New Roman" w:hAnsi="Times New Roman"/>
                <w:color w:val="auto"/>
                <w:sz w:val="18"/>
                <w:szCs w:val="18"/>
                <w:lang w:val="en-US" w:eastAsia="zh-CN"/>
              </w:rPr>
              <w:t>0</w:t>
            </w:r>
            <w:r>
              <w:rPr>
                <w:rFonts w:ascii="Times New Roman" w:hAnsi="Times New Roman"/>
                <w:color w:val="auto"/>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Merge w:val="continue"/>
            <w:vAlign w:val="center"/>
          </w:tcPr>
          <w:p>
            <w:pPr>
              <w:pStyle w:val="57"/>
              <w:rPr>
                <w:rFonts w:hint="eastAsia"/>
                <w:color w:val="auto"/>
                <w:sz w:val="18"/>
                <w:szCs w:val="18"/>
              </w:rPr>
            </w:pP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工频电场</w:t>
            </w:r>
            <w:r>
              <w:rPr>
                <w:rFonts w:ascii="Times New Roman" w:hAnsi="Times New Roman"/>
                <w:color w:val="auto"/>
                <w:sz w:val="18"/>
                <w:szCs w:val="18"/>
              </w:rPr>
              <w:t>（kV/m）</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工频磁场</w:t>
            </w:r>
            <w:r>
              <w:rPr>
                <w:rFonts w:ascii="Times New Roman" w:hAnsi="Times New Roman"/>
                <w:color w:val="auto"/>
                <w:sz w:val="18"/>
                <w:szCs w:val="18"/>
              </w:rPr>
              <w:t>（μT）</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工频电场</w:t>
            </w:r>
            <w:r>
              <w:rPr>
                <w:rFonts w:ascii="Times New Roman" w:hAnsi="Times New Roman"/>
                <w:color w:val="auto"/>
                <w:sz w:val="18"/>
                <w:szCs w:val="18"/>
              </w:rPr>
              <w:t>（kV/m）</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工频磁场</w:t>
            </w:r>
            <w:r>
              <w:rPr>
                <w:rFonts w:ascii="Times New Roman" w:hAnsi="Times New Roman"/>
                <w:color w:val="auto"/>
                <w:sz w:val="18"/>
                <w:szCs w:val="18"/>
              </w:rPr>
              <w:t>（μT）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3200" w:type="dxa"/>
            <w:vAlign w:val="center"/>
          </w:tcPr>
          <w:p>
            <w:pPr>
              <w:spacing w:line="260" w:lineRule="exact"/>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w:t>
            </w:r>
            <w:r>
              <w:rPr>
                <w:rFonts w:hint="eastAsia" w:ascii="Times New Roman" w:hAnsi="Times New Roman"/>
                <w:color w:val="auto"/>
                <w:sz w:val="18"/>
                <w:szCs w:val="18"/>
              </w:rPr>
              <w:t>北侧约</w:t>
            </w:r>
            <w:r>
              <w:rPr>
                <w:rFonts w:hint="eastAsia" w:ascii="Times New Roman" w:hAnsi="Times New Roman"/>
                <w:color w:val="auto"/>
                <w:sz w:val="18"/>
                <w:szCs w:val="18"/>
                <w:lang w:val="en-US" w:eastAsia="zh-CN"/>
              </w:rPr>
              <w:t>36</w:t>
            </w:r>
            <w:r>
              <w:rPr>
                <w:rFonts w:hint="eastAsia" w:ascii="Times New Roman" w:hAnsi="Times New Roman"/>
                <w:color w:val="auto"/>
                <w:sz w:val="18"/>
                <w:szCs w:val="18"/>
              </w:rPr>
              <w:t>m处</w:t>
            </w:r>
            <w:r>
              <w:rPr>
                <w:rFonts w:hint="eastAsia" w:ascii="Times New Roman" w:hAnsi="Times New Roman"/>
                <w:color w:val="auto"/>
                <w:sz w:val="18"/>
                <w:szCs w:val="18"/>
                <w:lang w:eastAsia="zh-CN"/>
              </w:rPr>
              <w:t>东路镇东路村在建民房东南侧</w:t>
            </w:r>
            <w:r>
              <w:rPr>
                <w:rFonts w:hint="eastAsia" w:ascii="Times New Roman" w:hAnsi="Times New Roman"/>
                <w:color w:val="auto"/>
                <w:sz w:val="18"/>
                <w:szCs w:val="18"/>
              </w:rPr>
              <w:t>（1）</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0.241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6.094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0.056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6.142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spacing w:line="260" w:lineRule="exact"/>
              <w:jc w:val="center"/>
              <w:rPr>
                <w:rFonts w:ascii="Times New Roman" w:hAnsi="Times New Roman"/>
                <w:bCs/>
                <w:color w:val="auto"/>
                <w:sz w:val="18"/>
                <w:szCs w:val="18"/>
              </w:rPr>
            </w:pPr>
            <w:r>
              <w:rPr>
                <w:rFonts w:hint="eastAsia" w:ascii="Times New Roman" w:hAnsi="Times New Roman"/>
                <w:color w:val="auto"/>
                <w:sz w:val="18"/>
                <w:szCs w:val="18"/>
              </w:rPr>
              <w:t>拟建线路西</w:t>
            </w:r>
            <w:r>
              <w:rPr>
                <w:rFonts w:hint="eastAsia" w:ascii="Times New Roman" w:hAnsi="Times New Roman"/>
                <w:color w:val="auto"/>
                <w:sz w:val="18"/>
                <w:szCs w:val="18"/>
                <w:lang w:eastAsia="zh-CN"/>
              </w:rPr>
              <w:t>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40</w:t>
            </w:r>
            <w:r>
              <w:rPr>
                <w:rFonts w:hint="eastAsia" w:ascii="Times New Roman" w:hAnsi="Times New Roman"/>
                <w:color w:val="auto"/>
                <w:sz w:val="18"/>
                <w:szCs w:val="18"/>
              </w:rPr>
              <w:t>m处</w:t>
            </w:r>
            <w:r>
              <w:rPr>
                <w:rFonts w:hint="eastAsia" w:ascii="Times New Roman" w:hAnsi="Times New Roman"/>
                <w:color w:val="auto"/>
                <w:sz w:val="18"/>
                <w:szCs w:val="18"/>
                <w:lang w:eastAsia="zh-CN"/>
              </w:rPr>
              <w:t>东路镇雨坛</w:t>
            </w:r>
            <w:r>
              <w:rPr>
                <w:rFonts w:hint="eastAsia" w:ascii="Times New Roman" w:hAnsi="Times New Roman"/>
                <w:color w:val="auto"/>
                <w:sz w:val="18"/>
                <w:szCs w:val="18"/>
              </w:rPr>
              <w:t>村1层</w:t>
            </w:r>
            <w:r>
              <w:rPr>
                <w:rFonts w:hint="eastAsia" w:ascii="Times New Roman" w:hAnsi="Times New Roman"/>
                <w:color w:val="auto"/>
                <w:sz w:val="18"/>
                <w:szCs w:val="18"/>
                <w:lang w:eastAsia="zh-CN"/>
              </w:rPr>
              <w:t>平顶闲置的民</w:t>
            </w:r>
            <w:r>
              <w:rPr>
                <w:rFonts w:hint="eastAsia" w:ascii="Times New Roman" w:hAnsi="Times New Roman"/>
                <w:color w:val="auto"/>
                <w:sz w:val="18"/>
                <w:szCs w:val="18"/>
              </w:rPr>
              <w:t>房门口（2）</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0.231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5.628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0.057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5.666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spacing w:line="260" w:lineRule="exact"/>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35</w:t>
            </w:r>
            <w:r>
              <w:rPr>
                <w:rFonts w:hint="eastAsia" w:ascii="Times New Roman" w:hAnsi="Times New Roman"/>
                <w:color w:val="auto"/>
                <w:sz w:val="18"/>
                <w:szCs w:val="18"/>
              </w:rPr>
              <w:t>m处</w:t>
            </w:r>
            <w:r>
              <w:rPr>
                <w:rFonts w:hint="eastAsia" w:ascii="Times New Roman" w:hAnsi="Times New Roman"/>
                <w:color w:val="auto"/>
                <w:sz w:val="18"/>
                <w:szCs w:val="18"/>
                <w:lang w:eastAsia="zh-CN"/>
              </w:rPr>
              <w:t>东路镇打银村</w:t>
            </w:r>
            <w:r>
              <w:rPr>
                <w:rFonts w:hint="eastAsia" w:ascii="Times New Roman" w:hAnsi="Times New Roman"/>
                <w:color w:val="auto"/>
                <w:sz w:val="18"/>
                <w:szCs w:val="18"/>
              </w:rPr>
              <w:t>1层尖顶</w:t>
            </w:r>
            <w:r>
              <w:rPr>
                <w:rFonts w:hint="eastAsia" w:ascii="Times New Roman" w:hAnsi="Times New Roman"/>
                <w:color w:val="auto"/>
                <w:sz w:val="18"/>
                <w:szCs w:val="18"/>
                <w:lang w:eastAsia="zh-CN"/>
              </w:rPr>
              <w:t>养鸭</w:t>
            </w:r>
            <w:r>
              <w:rPr>
                <w:rFonts w:hint="eastAsia" w:ascii="Times New Roman" w:hAnsi="Times New Roman"/>
                <w:color w:val="auto"/>
                <w:sz w:val="18"/>
                <w:szCs w:val="18"/>
              </w:rPr>
              <w:t>看护房</w:t>
            </w:r>
            <w:r>
              <w:rPr>
                <w:rFonts w:hint="eastAsia" w:ascii="Times New Roman" w:hAnsi="Times New Roman"/>
                <w:color w:val="auto"/>
                <w:sz w:val="18"/>
                <w:szCs w:val="18"/>
                <w:lang w:eastAsia="zh-CN"/>
              </w:rPr>
              <w:t>门口</w:t>
            </w:r>
            <w:r>
              <w:rPr>
                <w:rFonts w:hint="eastAsia" w:ascii="Times New Roman" w:hAnsi="Times New Roman"/>
                <w:color w:val="auto"/>
                <w:sz w:val="18"/>
                <w:szCs w:val="18"/>
              </w:rPr>
              <w:t>（3）</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0.242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6.260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0.054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6.311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spacing w:line="260" w:lineRule="exact"/>
              <w:jc w:val="center"/>
              <w:rPr>
                <w:rFonts w:ascii="Times New Roman" w:hAnsi="Times New Roman"/>
                <w:bCs/>
                <w:color w:val="auto"/>
                <w:sz w:val="18"/>
                <w:szCs w:val="18"/>
              </w:rPr>
            </w:pPr>
            <w:r>
              <w:rPr>
                <w:rFonts w:hint="eastAsia" w:ascii="Times New Roman" w:hAnsi="Times New Roman" w:cs="Times New Roman"/>
                <w:color w:val="auto"/>
                <w:sz w:val="18"/>
                <w:szCs w:val="18"/>
                <w:lang w:eastAsia="zh-CN"/>
              </w:rPr>
              <w:t>拟建线路跨越东路镇打银村1层平顶看护房门口（4）</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3.666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15.383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1.362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15.944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spacing w:line="260" w:lineRule="exact"/>
              <w:jc w:val="center"/>
              <w:rPr>
                <w:rFonts w:ascii="Times New Roman" w:hAnsi="Times New Roman"/>
                <w:bCs/>
                <w:color w:val="auto"/>
                <w:sz w:val="18"/>
                <w:szCs w:val="18"/>
              </w:rPr>
            </w:pPr>
            <w:r>
              <w:rPr>
                <w:rFonts w:hint="eastAsia" w:ascii="Times New Roman" w:hAnsi="Times New Roman" w:cs="Times New Roman"/>
                <w:color w:val="auto"/>
                <w:sz w:val="18"/>
                <w:szCs w:val="18"/>
                <w:lang w:eastAsia="zh-CN"/>
              </w:rPr>
              <w:t>拟建线路西南侧约</w:t>
            </w:r>
            <w:r>
              <w:rPr>
                <w:rFonts w:hint="eastAsia" w:ascii="Times New Roman" w:hAnsi="Times New Roman" w:cs="Times New Roman"/>
                <w:color w:val="auto"/>
                <w:sz w:val="18"/>
                <w:szCs w:val="18"/>
                <w:lang w:val="en-US" w:eastAsia="zh-CN"/>
              </w:rPr>
              <w:t>40</w:t>
            </w:r>
            <w:r>
              <w:rPr>
                <w:rFonts w:hint="eastAsia" w:ascii="Times New Roman" w:hAnsi="Times New Roman" w:cs="Times New Roman"/>
                <w:color w:val="auto"/>
                <w:sz w:val="18"/>
                <w:szCs w:val="18"/>
                <w:lang w:eastAsia="zh-CN"/>
              </w:rPr>
              <w:t>m处东路镇打银村1层尖顶看护房门口（5）</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0.232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5.648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0.058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5.686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spacing w:line="260" w:lineRule="exact"/>
              <w:jc w:val="center"/>
              <w:rPr>
                <w:rFonts w:ascii="Times New Roman" w:hAnsi="Times New Roman"/>
                <w:bCs/>
                <w:color w:val="auto"/>
                <w:sz w:val="18"/>
                <w:szCs w:val="18"/>
              </w:rPr>
            </w:pPr>
            <w:r>
              <w:rPr>
                <w:rFonts w:hint="eastAsia" w:ascii="Times New Roman" w:hAnsi="Times New Roman" w:cs="Times New Roman"/>
                <w:color w:val="auto"/>
                <w:sz w:val="18"/>
                <w:szCs w:val="18"/>
                <w:lang w:eastAsia="zh-CN"/>
              </w:rPr>
              <w:t>拟建线路跨越东路镇1层平顶仓库门口（6</w:t>
            </w:r>
            <w:r>
              <w:rPr>
                <w:rFonts w:hint="eastAsia" w:ascii="Times New Roman" w:hAnsi="Times New Roman" w:cs="Times New Roman"/>
                <w:color w:val="auto"/>
                <w:sz w:val="18"/>
                <w:szCs w:val="18"/>
                <w:lang w:val="en-US" w:eastAsia="zh-CN"/>
              </w:rPr>
              <w:t>-1</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3.679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15.314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1.375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15.875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spacing w:line="260" w:lineRule="exact"/>
              <w:jc w:val="center"/>
              <w:rPr>
                <w:rFonts w:ascii="Times New Roman" w:hAnsi="Times New Roman"/>
                <w:bCs/>
                <w:color w:val="auto"/>
                <w:sz w:val="18"/>
                <w:szCs w:val="18"/>
              </w:rPr>
            </w:pPr>
            <w:r>
              <w:rPr>
                <w:rFonts w:hint="eastAsia" w:ascii="Times New Roman" w:hAnsi="Times New Roman" w:cs="Times New Roman"/>
                <w:color w:val="auto"/>
                <w:sz w:val="18"/>
                <w:szCs w:val="18"/>
                <w:lang w:eastAsia="zh-CN"/>
              </w:rPr>
              <w:t>拟建线路西南侧约</w:t>
            </w:r>
            <w:r>
              <w:rPr>
                <w:rFonts w:hint="eastAsia" w:ascii="Times New Roman" w:hAnsi="Times New Roman" w:cs="Times New Roman"/>
                <w:color w:val="auto"/>
                <w:sz w:val="18"/>
                <w:szCs w:val="18"/>
                <w:lang w:val="en-US" w:eastAsia="zh-CN"/>
              </w:rPr>
              <w:t>26m处</w:t>
            </w:r>
            <w:r>
              <w:rPr>
                <w:rFonts w:hint="eastAsia" w:ascii="Times New Roman" w:hAnsi="Times New Roman" w:cs="Times New Roman"/>
                <w:color w:val="auto"/>
                <w:sz w:val="18"/>
                <w:szCs w:val="18"/>
                <w:lang w:eastAsia="zh-CN"/>
              </w:rPr>
              <w:t>东路镇</w:t>
            </w:r>
            <w:r>
              <w:rPr>
                <w:rFonts w:hint="eastAsia" w:ascii="Times New Roman" w:hAnsi="Times New Roman" w:cs="Times New Roman"/>
                <w:color w:val="auto"/>
                <w:sz w:val="18"/>
                <w:szCs w:val="18"/>
                <w:lang w:val="en-US" w:eastAsia="zh-CN"/>
              </w:rPr>
              <w:t>2</w:t>
            </w:r>
            <w:r>
              <w:rPr>
                <w:rFonts w:hint="eastAsia" w:ascii="Times New Roman" w:hAnsi="Times New Roman" w:cs="Times New Roman"/>
                <w:color w:val="auto"/>
                <w:sz w:val="18"/>
                <w:szCs w:val="18"/>
                <w:lang w:eastAsia="zh-CN"/>
              </w:rPr>
              <w:t>层尖顶龙泉共享农庄门口（6</w:t>
            </w:r>
            <w:r>
              <w:rPr>
                <w:rFonts w:hint="eastAsia" w:ascii="Times New Roman" w:hAnsi="Times New Roman" w:cs="Times New Roman"/>
                <w:color w:val="auto"/>
                <w:sz w:val="18"/>
                <w:szCs w:val="18"/>
                <w:lang w:val="en-US" w:eastAsia="zh-CN"/>
              </w:rPr>
              <w:t>-2</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0.199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7.661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0.028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7.753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12</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大致坡镇堆边山村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民房门口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7</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0.809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11.486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0.876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11.821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0m处</w:t>
            </w:r>
            <w:r>
              <w:rPr>
                <w:rFonts w:hint="eastAsia" w:ascii="Times New Roman" w:hAnsi="Times New Roman"/>
                <w:color w:val="auto"/>
                <w:sz w:val="18"/>
                <w:szCs w:val="18"/>
                <w:lang w:eastAsia="zh-CN"/>
              </w:rPr>
              <w:t>大致坡镇栽群村</w:t>
            </w:r>
            <w:r>
              <w:rPr>
                <w:rFonts w:hint="eastAsia" w:ascii="Times New Roman" w:hAnsi="Times New Roman"/>
                <w:color w:val="auto"/>
                <w:sz w:val="18"/>
                <w:szCs w:val="18"/>
                <w:lang w:val="en-US" w:eastAsia="zh-CN"/>
              </w:rPr>
              <w:t>1层平顶看护房北墙外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8</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0.077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8.937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0.167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9.084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跨越大致坡镇乐群村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看护房门口</w:t>
            </w:r>
            <w:r>
              <w:rPr>
                <w:rFonts w:hint="eastAsia" w:ascii="Times New Roman" w:hAnsi="Times New Roman" w:cs="Times New Roman"/>
                <w:color w:val="auto"/>
                <w:sz w:val="18"/>
                <w:szCs w:val="18"/>
                <w:lang w:eastAsia="zh-CN"/>
              </w:rPr>
              <w:t>（</w:t>
            </w:r>
            <w:r>
              <w:rPr>
                <w:rFonts w:hint="eastAsia" w:ascii="Times New Roman" w:hAnsi="Times New Roman"/>
                <w:color w:val="auto"/>
                <w:sz w:val="18"/>
                <w:szCs w:val="18"/>
                <w:lang w:val="en-US" w:eastAsia="zh-CN"/>
              </w:rPr>
              <w:t>9</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3.666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15.332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1.362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15.893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30</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大致坡镇乐群村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rPr>
              <w:t>看护房</w:t>
            </w:r>
            <w:r>
              <w:rPr>
                <w:rFonts w:hint="eastAsia" w:ascii="Times New Roman" w:hAnsi="Times New Roman"/>
                <w:color w:val="auto"/>
                <w:sz w:val="18"/>
                <w:szCs w:val="18"/>
                <w:lang w:eastAsia="zh-CN"/>
              </w:rPr>
              <w:t>南墙外</w:t>
            </w:r>
            <w:r>
              <w:rPr>
                <w:rFonts w:hint="eastAsia" w:ascii="Times New Roman" w:hAnsi="Times New Roman" w:cs="Times New Roman"/>
                <w:color w:val="auto"/>
                <w:sz w:val="18"/>
                <w:szCs w:val="18"/>
                <w:lang w:eastAsia="zh-CN"/>
              </w:rPr>
              <w:t>（</w:t>
            </w:r>
            <w:r>
              <w:rPr>
                <w:rFonts w:hint="eastAsia" w:ascii="Times New Roman" w:hAnsi="Times New Roman"/>
                <w:color w:val="auto"/>
                <w:sz w:val="18"/>
                <w:szCs w:val="18"/>
                <w:lang w:val="en-US" w:eastAsia="zh-CN"/>
              </w:rPr>
              <w:t>10</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0.233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6.946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0.036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跨越大致坡镇石庄口村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rPr>
              <w:t>看护房</w:t>
            </w:r>
            <w:r>
              <w:rPr>
                <w:rFonts w:hint="eastAsia" w:ascii="Times New Roman" w:hAnsi="Times New Roman"/>
                <w:color w:val="auto"/>
                <w:sz w:val="18"/>
                <w:szCs w:val="18"/>
                <w:lang w:eastAsia="zh-CN"/>
              </w:rPr>
              <w:t>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11</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3.665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15.358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1.361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15.919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大致坡镇石庄口村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rPr>
              <w:t>看护房</w:t>
            </w:r>
            <w:r>
              <w:rPr>
                <w:rFonts w:hint="eastAsia" w:ascii="Times New Roman" w:hAnsi="Times New Roman"/>
                <w:color w:val="auto"/>
                <w:sz w:val="18"/>
                <w:szCs w:val="18"/>
                <w:lang w:val="en-US" w:eastAsia="zh-CN"/>
              </w:rPr>
              <w:t>南墙外（12-1）</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0.179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7.801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0.034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12</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大致坡镇石庄口村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民房西北侧墙外（</w:t>
            </w:r>
            <w:r>
              <w:rPr>
                <w:rFonts w:hint="eastAsia" w:ascii="Times New Roman" w:hAnsi="Times New Roman"/>
                <w:color w:val="auto"/>
                <w:sz w:val="18"/>
                <w:szCs w:val="18"/>
                <w:lang w:val="en-US" w:eastAsia="zh-CN"/>
              </w:rPr>
              <w:t>12-2</w:t>
            </w:r>
            <w:r>
              <w:rPr>
                <w:rFonts w:hint="eastAsia" w:ascii="Times New Roman" w:hAnsi="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0.809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11.487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0.876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11.822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大致坡镇石庄口村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rPr>
              <w:t>看护房</w:t>
            </w:r>
            <w:r>
              <w:rPr>
                <w:rFonts w:hint="eastAsia" w:ascii="Times New Roman" w:hAnsi="Times New Roman"/>
                <w:color w:val="auto"/>
                <w:sz w:val="18"/>
                <w:szCs w:val="18"/>
                <w:lang w:eastAsia="zh-CN"/>
              </w:rPr>
              <w:t>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13</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0.179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7.801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0.034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大致坡镇张官村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看护房门口（</w:t>
            </w:r>
            <w:r>
              <w:rPr>
                <w:rFonts w:hint="eastAsia" w:ascii="Times New Roman" w:hAnsi="Times New Roman"/>
                <w:color w:val="auto"/>
                <w:sz w:val="18"/>
                <w:szCs w:val="18"/>
                <w:lang w:val="en-US" w:eastAsia="zh-CN"/>
              </w:rPr>
              <w:t>14</w:t>
            </w:r>
            <w:r>
              <w:rPr>
                <w:rFonts w:hint="eastAsia" w:ascii="Times New Roman" w:hAnsi="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0.179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7.800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0.034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7.899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40</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大致坡镇张官村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看护房南墙外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15</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0.232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5.622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0.058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5.660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5</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大致坡镇潭门村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看护房西墙外（</w:t>
            </w:r>
            <w:r>
              <w:rPr>
                <w:rFonts w:hint="eastAsia" w:ascii="Times New Roman" w:hAnsi="Times New Roman"/>
                <w:color w:val="auto"/>
                <w:sz w:val="18"/>
                <w:szCs w:val="18"/>
                <w:lang w:val="en-US" w:eastAsia="zh-CN"/>
              </w:rPr>
              <w:t>16-1</w:t>
            </w:r>
            <w:r>
              <w:rPr>
                <w:rFonts w:hint="eastAsia" w:ascii="Times New Roman" w:hAnsi="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2.597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6.258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2.556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15.390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r>
              <w:rPr>
                <w:rFonts w:hint="eastAsia" w:ascii="Times New Roman" w:hAnsi="Times New Roman"/>
                <w:color w:val="auto"/>
                <w:sz w:val="18"/>
                <w:szCs w:val="18"/>
                <w:lang w:eastAsia="zh-CN"/>
              </w:rPr>
              <w:t>大致坡镇潭门村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看护房北墙外（</w:t>
            </w:r>
            <w:r>
              <w:rPr>
                <w:rFonts w:hint="eastAsia" w:ascii="Times New Roman" w:hAnsi="Times New Roman"/>
                <w:color w:val="auto"/>
                <w:sz w:val="18"/>
                <w:szCs w:val="18"/>
                <w:lang w:val="en-US" w:eastAsia="zh-CN"/>
              </w:rPr>
              <w:t>16-2</w:t>
            </w:r>
            <w:r>
              <w:rPr>
                <w:rFonts w:hint="eastAsia" w:ascii="Times New Roman" w:hAnsi="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0.180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7.849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0.035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7.948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跨越大致坡镇潭门村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看护房北墙外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17</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3.676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15.618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1.372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16.179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跨越红旗镇桃林村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18-1</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3.665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15.388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1.361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15.949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北侧约</w:t>
            </w:r>
            <w:r>
              <w:rPr>
                <w:rFonts w:hint="eastAsia" w:ascii="Times New Roman" w:hAnsi="Times New Roman"/>
                <w:color w:val="auto"/>
                <w:sz w:val="18"/>
                <w:szCs w:val="18"/>
                <w:lang w:val="en-US" w:eastAsia="zh-CN"/>
              </w:rPr>
              <w:t>30m处</w:t>
            </w:r>
            <w:r>
              <w:rPr>
                <w:rFonts w:hint="eastAsia" w:ascii="Times New Roman" w:hAnsi="Times New Roman"/>
                <w:color w:val="auto"/>
                <w:sz w:val="18"/>
                <w:szCs w:val="18"/>
                <w:lang w:eastAsia="zh-CN"/>
              </w:rPr>
              <w:t>红旗镇桃林村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18-2</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0.233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6.990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0.036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m处</w:t>
            </w:r>
            <w:r>
              <w:rPr>
                <w:rFonts w:hint="eastAsia" w:ascii="Times New Roman" w:hAnsi="Times New Roman"/>
                <w:color w:val="auto"/>
                <w:sz w:val="18"/>
                <w:szCs w:val="18"/>
                <w:lang w:eastAsia="zh-CN"/>
              </w:rPr>
              <w:t>红旗镇昆上村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民房门口（</w:t>
            </w:r>
            <w:r>
              <w:rPr>
                <w:rFonts w:hint="eastAsia" w:ascii="Times New Roman" w:hAnsi="Times New Roman"/>
                <w:color w:val="auto"/>
                <w:sz w:val="18"/>
                <w:szCs w:val="18"/>
                <w:lang w:val="en-US" w:eastAsia="zh-CN"/>
              </w:rPr>
              <w:t>19-1</w:t>
            </w:r>
            <w:r>
              <w:rPr>
                <w:rFonts w:hint="eastAsia" w:ascii="Times New Roman" w:hAnsi="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3.393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15.490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3.149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16.504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40</w:t>
            </w:r>
            <w:r>
              <w:rPr>
                <w:rFonts w:hint="eastAsia" w:ascii="Times New Roman" w:hAnsi="Times New Roman"/>
                <w:color w:val="auto"/>
                <w:sz w:val="18"/>
                <w:szCs w:val="18"/>
              </w:rPr>
              <w:t>m处</w:t>
            </w:r>
            <w:r>
              <w:rPr>
                <w:rFonts w:hint="eastAsia" w:ascii="Times New Roman" w:hAnsi="Times New Roman"/>
                <w:color w:val="auto"/>
                <w:sz w:val="18"/>
                <w:szCs w:val="18"/>
                <w:lang w:eastAsia="zh-CN"/>
              </w:rPr>
              <w:t>红旗镇昆上村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民房门口（</w:t>
            </w:r>
            <w:r>
              <w:rPr>
                <w:rFonts w:hint="eastAsia" w:ascii="Times New Roman" w:hAnsi="Times New Roman"/>
                <w:color w:val="auto"/>
                <w:sz w:val="18"/>
                <w:szCs w:val="18"/>
                <w:lang w:val="en-US" w:eastAsia="zh-CN"/>
              </w:rPr>
              <w:t>19-2</w:t>
            </w:r>
            <w:r>
              <w:rPr>
                <w:rFonts w:hint="eastAsia" w:ascii="Times New Roman" w:hAnsi="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0.234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5.665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0.060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5.703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10</w:t>
            </w:r>
            <w:r>
              <w:rPr>
                <w:rFonts w:hint="eastAsia" w:ascii="Times New Roman" w:hAnsi="Times New Roman"/>
                <w:color w:val="auto"/>
                <w:sz w:val="18"/>
                <w:szCs w:val="18"/>
              </w:rPr>
              <w:t>m处</w:t>
            </w:r>
            <w:r>
              <w:rPr>
                <w:rFonts w:hint="eastAsia" w:ascii="Times New Roman" w:hAnsi="Times New Roman"/>
                <w:color w:val="auto"/>
                <w:sz w:val="18"/>
                <w:szCs w:val="18"/>
                <w:lang w:eastAsia="zh-CN"/>
              </w:rPr>
              <w:t>红旗镇永萌村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20</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1.209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12.351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1.246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12.784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20</w:t>
            </w:r>
            <w:r>
              <w:rPr>
                <w:rFonts w:hint="eastAsia" w:ascii="Times New Roman" w:hAnsi="Times New Roman"/>
                <w:color w:val="auto"/>
                <w:sz w:val="18"/>
                <w:szCs w:val="18"/>
              </w:rPr>
              <w:t>m处</w:t>
            </w:r>
            <w:r>
              <w:rPr>
                <w:rFonts w:hint="eastAsia" w:ascii="Times New Roman" w:hAnsi="Times New Roman"/>
                <w:color w:val="auto"/>
                <w:sz w:val="18"/>
                <w:szCs w:val="18"/>
                <w:lang w:eastAsia="zh-CN"/>
              </w:rPr>
              <w:t>旧州镇美顶村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荔枝园生产车间东北侧墙外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21</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0.080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8.943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0.170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9.090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36</w:t>
            </w:r>
            <w:r>
              <w:rPr>
                <w:rFonts w:hint="eastAsia" w:ascii="Times New Roman" w:hAnsi="Times New Roman"/>
                <w:color w:val="auto"/>
                <w:sz w:val="18"/>
                <w:szCs w:val="18"/>
              </w:rPr>
              <w:t>m处</w:t>
            </w:r>
            <w:r>
              <w:rPr>
                <w:rFonts w:hint="eastAsia" w:ascii="Times New Roman" w:hAnsi="Times New Roman"/>
                <w:color w:val="auto"/>
                <w:sz w:val="18"/>
                <w:szCs w:val="18"/>
                <w:lang w:eastAsia="zh-CN"/>
              </w:rPr>
              <w:t>旧州镇美顶村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养殖棚北墙外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22</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0.244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6.107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0.059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6.155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5</w:t>
            </w:r>
            <w:r>
              <w:rPr>
                <w:rFonts w:hint="eastAsia" w:ascii="Times New Roman" w:hAnsi="Times New Roman"/>
                <w:color w:val="auto"/>
                <w:sz w:val="18"/>
                <w:szCs w:val="18"/>
              </w:rPr>
              <w:t>m处</w:t>
            </w:r>
            <w:r>
              <w:rPr>
                <w:rFonts w:hint="eastAsia" w:ascii="Times New Roman" w:hAnsi="Times New Roman"/>
                <w:color w:val="auto"/>
                <w:sz w:val="18"/>
                <w:szCs w:val="18"/>
                <w:lang w:eastAsia="zh-CN"/>
              </w:rPr>
              <w:t>旧州镇美顶村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23</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2.596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6.213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2.555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15.345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跨越云龙镇三岭村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养殖棚西墙外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24</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3.666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15.320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1.362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15.881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20</w:t>
            </w:r>
            <w:r>
              <w:rPr>
                <w:rFonts w:hint="eastAsia" w:ascii="Times New Roman" w:hAnsi="Times New Roman"/>
                <w:color w:val="auto"/>
                <w:sz w:val="18"/>
                <w:szCs w:val="18"/>
              </w:rPr>
              <w:t>m处</w:t>
            </w:r>
            <w:r>
              <w:rPr>
                <w:rFonts w:hint="eastAsia" w:ascii="Times New Roman" w:hAnsi="Times New Roman"/>
                <w:color w:val="auto"/>
                <w:sz w:val="18"/>
                <w:szCs w:val="18"/>
                <w:lang w:eastAsia="zh-CN"/>
              </w:rPr>
              <w:t>龙塘镇美隆村</w:t>
            </w:r>
            <w:r>
              <w:rPr>
                <w:rFonts w:hint="eastAsia" w:ascii="Times New Roman" w:hAnsi="Times New Roman"/>
                <w:color w:val="auto"/>
                <w:sz w:val="18"/>
                <w:szCs w:val="18"/>
                <w:lang w:val="en-US" w:eastAsia="zh-CN"/>
              </w:rPr>
              <w:t>2层平顶</w:t>
            </w:r>
            <w:r>
              <w:rPr>
                <w:rFonts w:hint="eastAsia" w:ascii="Times New Roman" w:hAnsi="Times New Roman"/>
                <w:color w:val="auto"/>
                <w:sz w:val="18"/>
                <w:szCs w:val="18"/>
                <w:lang w:eastAsia="zh-CN"/>
              </w:rPr>
              <w:t>民房门口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25</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0.077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8.928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0.167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9.075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30</w:t>
            </w:r>
            <w:r>
              <w:rPr>
                <w:rFonts w:hint="eastAsia" w:ascii="Times New Roman" w:hAnsi="Times New Roman"/>
                <w:color w:val="auto"/>
                <w:sz w:val="18"/>
                <w:szCs w:val="18"/>
              </w:rPr>
              <w:t>m处</w:t>
            </w:r>
            <w:r>
              <w:rPr>
                <w:rFonts w:hint="eastAsia" w:ascii="Times New Roman" w:hAnsi="Times New Roman"/>
                <w:color w:val="auto"/>
                <w:sz w:val="18"/>
                <w:szCs w:val="18"/>
                <w:lang w:eastAsia="zh-CN"/>
              </w:rPr>
              <w:t>龙塘镇仁庄村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养殖棚东墙外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w:t>
            </w:r>
            <w:r>
              <w:rPr>
                <w:rFonts w:hint="eastAsia" w:ascii="Times New Roman" w:hAnsi="Times New Roman" w:cs="Times New Roman"/>
                <w:color w:val="auto"/>
                <w:sz w:val="18"/>
                <w:szCs w:val="18"/>
                <w:lang w:eastAsia="zh-CN"/>
              </w:rPr>
              <w:t>6）</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0.233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6.981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0.036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7.051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36</w:t>
            </w:r>
            <w:r>
              <w:rPr>
                <w:rFonts w:hint="eastAsia" w:ascii="Times New Roman" w:hAnsi="Times New Roman"/>
                <w:color w:val="auto"/>
                <w:sz w:val="18"/>
                <w:szCs w:val="18"/>
              </w:rPr>
              <w:t>m处</w:t>
            </w:r>
            <w:r>
              <w:rPr>
                <w:rFonts w:hint="eastAsia" w:ascii="Times New Roman" w:hAnsi="Times New Roman"/>
                <w:color w:val="auto"/>
                <w:sz w:val="18"/>
                <w:szCs w:val="18"/>
                <w:lang w:eastAsia="zh-CN"/>
              </w:rPr>
              <w:t>龙塘镇永罗村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民房北墙外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27</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0.242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6.202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0.057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r>
              <w:rPr>
                <w:rFonts w:hint="eastAsia" w:ascii="Times New Roman" w:hAnsi="Times New Roman"/>
                <w:color w:val="auto"/>
                <w:sz w:val="18"/>
                <w:szCs w:val="18"/>
                <w:lang w:eastAsia="zh-CN"/>
              </w:rPr>
              <w:t>龙塘镇龙新村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在建民房门口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28</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0.180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7.849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0.035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7.948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36</w:t>
            </w:r>
            <w:r>
              <w:rPr>
                <w:rFonts w:hint="eastAsia" w:ascii="Times New Roman" w:hAnsi="Times New Roman"/>
                <w:color w:val="auto"/>
                <w:sz w:val="18"/>
                <w:szCs w:val="18"/>
              </w:rPr>
              <w:t>m处</w:t>
            </w:r>
            <w:r>
              <w:rPr>
                <w:rFonts w:hint="eastAsia" w:ascii="Times New Roman" w:hAnsi="Times New Roman"/>
                <w:color w:val="auto"/>
                <w:sz w:val="18"/>
                <w:szCs w:val="18"/>
                <w:lang w:eastAsia="zh-CN"/>
              </w:rPr>
              <w:t>龙塘镇罗京村</w:t>
            </w:r>
            <w:r>
              <w:rPr>
                <w:rFonts w:hint="eastAsia" w:ascii="Times New Roman" w:hAnsi="Times New Roman"/>
                <w:color w:val="auto"/>
                <w:sz w:val="18"/>
                <w:szCs w:val="18"/>
                <w:lang w:val="en-US" w:eastAsia="zh-CN"/>
              </w:rPr>
              <w:t>4层平顶在建</w:t>
            </w:r>
            <w:r>
              <w:rPr>
                <w:rFonts w:hint="eastAsia" w:ascii="Times New Roman" w:hAnsi="Times New Roman"/>
                <w:color w:val="auto"/>
                <w:sz w:val="18"/>
                <w:szCs w:val="18"/>
                <w:lang w:eastAsia="zh-CN"/>
              </w:rPr>
              <w:t>民房</w:t>
            </w:r>
            <w:r>
              <w:rPr>
                <w:rFonts w:hint="eastAsia" w:ascii="Times New Roman" w:hAnsi="Times New Roman"/>
                <w:color w:val="auto"/>
                <w:sz w:val="18"/>
                <w:szCs w:val="18"/>
                <w:lang w:val="en-US" w:eastAsia="zh-CN"/>
              </w:rPr>
              <w:t xml:space="preserve"> 西墙外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29</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0.241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6.147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0.056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6.195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20</w:t>
            </w:r>
            <w:r>
              <w:rPr>
                <w:rFonts w:hint="eastAsia" w:ascii="Times New Roman" w:hAnsi="Times New Roman"/>
                <w:color w:val="auto"/>
                <w:sz w:val="18"/>
                <w:szCs w:val="18"/>
              </w:rPr>
              <w:t>m处</w:t>
            </w:r>
            <w:r>
              <w:rPr>
                <w:rFonts w:hint="eastAsia" w:ascii="Times New Roman" w:hAnsi="Times New Roman"/>
                <w:color w:val="auto"/>
                <w:sz w:val="18"/>
                <w:szCs w:val="18"/>
                <w:lang w:eastAsia="zh-CN"/>
              </w:rPr>
              <w:t>龙塘镇罗京村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看护房北墙外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30</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0.077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8.940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0.167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9.087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35</w:t>
            </w:r>
            <w:r>
              <w:rPr>
                <w:rFonts w:hint="eastAsia" w:ascii="Times New Roman" w:hAnsi="Times New Roman"/>
                <w:color w:val="auto"/>
                <w:sz w:val="18"/>
                <w:szCs w:val="18"/>
              </w:rPr>
              <w:t>m处</w:t>
            </w:r>
            <w:r>
              <w:rPr>
                <w:rFonts w:hint="eastAsia" w:ascii="Times New Roman" w:hAnsi="Times New Roman"/>
                <w:color w:val="auto"/>
                <w:sz w:val="18"/>
                <w:szCs w:val="18"/>
                <w:lang w:eastAsia="zh-CN"/>
              </w:rPr>
              <w:t>龙塘镇玉荣村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看护房西墙外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31</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0.242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6.296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0.054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6.347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25</w:t>
            </w:r>
            <w:r>
              <w:rPr>
                <w:rFonts w:hint="eastAsia" w:ascii="Times New Roman" w:hAnsi="Times New Roman"/>
                <w:color w:val="auto"/>
                <w:sz w:val="18"/>
                <w:szCs w:val="18"/>
              </w:rPr>
              <w:t>m处</w:t>
            </w:r>
            <w:r>
              <w:rPr>
                <w:rFonts w:hint="eastAsia" w:ascii="Times New Roman" w:hAnsi="Times New Roman"/>
                <w:color w:val="auto"/>
                <w:sz w:val="18"/>
                <w:szCs w:val="18"/>
                <w:lang w:eastAsia="zh-CN"/>
              </w:rPr>
              <w:t>龙桥镇潭社村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看护房东墙外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32</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0.181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7.811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0.036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7.910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东南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30</w:t>
            </w:r>
            <w:r>
              <w:rPr>
                <w:rFonts w:hint="eastAsia" w:ascii="Times New Roman" w:hAnsi="Times New Roman"/>
                <w:color w:val="auto"/>
                <w:sz w:val="18"/>
                <w:szCs w:val="18"/>
              </w:rPr>
              <w:t>m处</w:t>
            </w:r>
            <w:r>
              <w:rPr>
                <w:rFonts w:hint="eastAsia" w:ascii="Times New Roman" w:hAnsi="Times New Roman"/>
                <w:color w:val="auto"/>
                <w:sz w:val="18"/>
                <w:szCs w:val="18"/>
                <w:lang w:eastAsia="zh-CN"/>
              </w:rPr>
              <w:t>府城镇永田村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看护房西南侧墙外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33</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0.233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6.993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0.036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拟建线路</w:t>
            </w:r>
            <w:r>
              <w:rPr>
                <w:rFonts w:hint="eastAsia" w:ascii="Times New Roman" w:hAnsi="Times New Roman"/>
                <w:color w:val="auto"/>
                <w:sz w:val="18"/>
                <w:szCs w:val="18"/>
                <w:lang w:eastAsia="zh-CN"/>
              </w:rPr>
              <w:t>西</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28</w:t>
            </w:r>
            <w:r>
              <w:rPr>
                <w:rFonts w:hint="eastAsia" w:ascii="Times New Roman" w:hAnsi="Times New Roman"/>
                <w:color w:val="auto"/>
                <w:sz w:val="18"/>
                <w:szCs w:val="18"/>
              </w:rPr>
              <w:t>m处</w:t>
            </w:r>
            <w:r>
              <w:rPr>
                <w:rFonts w:hint="eastAsia" w:ascii="Times New Roman" w:hAnsi="Times New Roman"/>
                <w:color w:val="auto"/>
                <w:sz w:val="18"/>
                <w:szCs w:val="18"/>
                <w:lang w:eastAsia="zh-CN"/>
              </w:rPr>
              <w:t>城镇永田村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看护房东墙外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34</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0.220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7.352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0.026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7.431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lang w:eastAsia="zh-CN"/>
              </w:rPr>
              <w:t>拟建线路跨越城镇永田村</w:t>
            </w:r>
            <w:r>
              <w:rPr>
                <w:rFonts w:hint="eastAsia" w:ascii="Times New Roman" w:hAnsi="Times New Roman"/>
                <w:color w:val="auto"/>
                <w:sz w:val="18"/>
                <w:szCs w:val="18"/>
                <w:lang w:val="en-US" w:eastAsia="zh-CN"/>
              </w:rPr>
              <w:t>1层尖顶民房门口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35-1</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3.731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15.635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1.427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16.196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lang w:eastAsia="zh-CN"/>
              </w:rPr>
              <w:t>拟建线路西北侧约</w:t>
            </w:r>
            <w:r>
              <w:rPr>
                <w:rFonts w:hint="eastAsia" w:ascii="Times New Roman" w:hAnsi="Times New Roman"/>
                <w:color w:val="auto"/>
                <w:sz w:val="18"/>
                <w:szCs w:val="18"/>
                <w:lang w:val="en-US" w:eastAsia="zh-CN"/>
              </w:rPr>
              <w:t>15m</w:t>
            </w:r>
            <w:r>
              <w:rPr>
                <w:rFonts w:hint="eastAsia" w:ascii="Times New Roman" w:hAnsi="Times New Roman"/>
                <w:color w:val="auto"/>
                <w:sz w:val="18"/>
                <w:szCs w:val="18"/>
                <w:lang w:eastAsia="zh-CN"/>
              </w:rPr>
              <w:t>城镇永田村</w:t>
            </w:r>
            <w:r>
              <w:rPr>
                <w:rFonts w:hint="eastAsia" w:ascii="Times New Roman" w:hAnsi="Times New Roman"/>
                <w:color w:val="auto"/>
                <w:sz w:val="18"/>
                <w:szCs w:val="18"/>
                <w:lang w:val="en-US" w:eastAsia="zh-CN"/>
              </w:rPr>
              <w:t>1层平顶民房门口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35-2</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0.434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10.649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0.542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10.887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w:t>
            </w:r>
            <w:r>
              <w:rPr>
                <w:rFonts w:hint="eastAsia" w:ascii="Times New Roman" w:hAnsi="Times New Roman"/>
                <w:color w:val="auto"/>
                <w:sz w:val="18"/>
                <w:szCs w:val="18"/>
                <w:lang w:eastAsia="zh-CN"/>
              </w:rPr>
              <w:t>临时保电</w:t>
            </w:r>
            <w:r>
              <w:rPr>
                <w:rFonts w:hint="eastAsia" w:ascii="Times New Roman" w:hAnsi="Times New Roman"/>
                <w:color w:val="auto"/>
                <w:sz w:val="18"/>
                <w:szCs w:val="18"/>
              </w:rPr>
              <w:t>线路</w:t>
            </w:r>
            <w:r>
              <w:rPr>
                <w:rFonts w:hint="eastAsia" w:ascii="Times New Roman" w:hAnsi="Times New Roman"/>
                <w:color w:val="auto"/>
                <w:sz w:val="18"/>
                <w:szCs w:val="18"/>
                <w:lang w:eastAsia="zh-CN"/>
              </w:rPr>
              <w:t>西北</w:t>
            </w:r>
            <w:r>
              <w:rPr>
                <w:rFonts w:hint="eastAsia" w:ascii="Times New Roman" w:hAnsi="Times New Roman"/>
                <w:color w:val="auto"/>
                <w:sz w:val="18"/>
                <w:szCs w:val="18"/>
              </w:rPr>
              <w:t>侧约</w:t>
            </w:r>
            <w:r>
              <w:rPr>
                <w:rFonts w:hint="eastAsia" w:ascii="Times New Roman" w:hAnsi="Times New Roman"/>
                <w:color w:val="auto"/>
                <w:sz w:val="18"/>
                <w:szCs w:val="18"/>
                <w:lang w:val="en-US" w:eastAsia="zh-CN"/>
              </w:rPr>
              <w:t>2</w:t>
            </w:r>
            <w:r>
              <w:rPr>
                <w:rFonts w:hint="eastAsia" w:ascii="Times New Roman" w:hAnsi="Times New Roman"/>
                <w:color w:val="auto"/>
                <w:sz w:val="18"/>
                <w:szCs w:val="18"/>
              </w:rPr>
              <w:t>m处</w:t>
            </w:r>
            <w:r>
              <w:rPr>
                <w:rFonts w:hint="eastAsia" w:ascii="Times New Roman" w:hAnsi="Times New Roman"/>
                <w:color w:val="auto"/>
                <w:sz w:val="18"/>
                <w:szCs w:val="18"/>
                <w:lang w:eastAsia="zh-CN"/>
              </w:rPr>
              <w:t>城镇儒传村</w:t>
            </w:r>
            <w:r>
              <w:rPr>
                <w:rFonts w:hint="eastAsia" w:ascii="Times New Roman" w:hAnsi="Times New Roman"/>
                <w:color w:val="auto"/>
                <w:sz w:val="18"/>
                <w:szCs w:val="18"/>
                <w:lang w:val="en-US" w:eastAsia="zh-CN"/>
              </w:rPr>
              <w:t>1层尖顶</w:t>
            </w:r>
            <w:r>
              <w:rPr>
                <w:rFonts w:hint="eastAsia" w:ascii="Times New Roman" w:hAnsi="Times New Roman"/>
                <w:color w:val="auto"/>
                <w:sz w:val="18"/>
                <w:szCs w:val="18"/>
                <w:lang w:eastAsia="zh-CN"/>
              </w:rPr>
              <w:t>看护房门口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w:t>
            </w:r>
            <w:r>
              <w:rPr>
                <w:rFonts w:hint="eastAsia" w:ascii="Times New Roman" w:hAnsi="Times New Roman" w:cs="Times New Roman"/>
                <w:color w:val="auto"/>
                <w:sz w:val="18"/>
                <w:szCs w:val="18"/>
                <w:lang w:eastAsia="zh-CN"/>
              </w:rPr>
              <w:t>6）</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3.399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15.668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3.155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16.682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w:t>
            </w:r>
            <w:r>
              <w:rPr>
                <w:rFonts w:hint="eastAsia" w:ascii="Times New Roman" w:hAnsi="Times New Roman"/>
                <w:color w:val="auto"/>
                <w:sz w:val="18"/>
                <w:szCs w:val="18"/>
                <w:lang w:eastAsia="zh-CN"/>
              </w:rPr>
              <w:t>临时</w:t>
            </w:r>
            <w:r>
              <w:rPr>
                <w:rFonts w:hint="eastAsia" w:ascii="Times New Roman" w:hAnsi="Times New Roman"/>
                <w:color w:val="auto"/>
                <w:sz w:val="18"/>
                <w:szCs w:val="18"/>
              </w:rPr>
              <w:t>线路</w:t>
            </w:r>
            <w:r>
              <w:rPr>
                <w:rFonts w:hint="eastAsia" w:ascii="Times New Roman" w:hAnsi="Times New Roman"/>
                <w:color w:val="auto"/>
                <w:sz w:val="18"/>
                <w:szCs w:val="18"/>
                <w:lang w:eastAsia="zh-CN"/>
              </w:rPr>
              <w:t>跨越城镇永田村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37-1</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3.857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15.669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1.553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16.230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00" w:type="dxa"/>
            <w:vAlign w:val="center"/>
          </w:tcPr>
          <w:p>
            <w:pPr>
              <w:jc w:val="center"/>
              <w:rPr>
                <w:rFonts w:ascii="Times New Roman" w:hAnsi="Times New Roman"/>
                <w:bCs/>
                <w:color w:val="auto"/>
                <w:sz w:val="18"/>
                <w:szCs w:val="18"/>
              </w:rPr>
            </w:pPr>
            <w:r>
              <w:rPr>
                <w:rFonts w:hint="eastAsia" w:ascii="Times New Roman" w:hAnsi="Times New Roman"/>
                <w:color w:val="auto"/>
                <w:sz w:val="18"/>
                <w:szCs w:val="18"/>
              </w:rPr>
              <w:t>拟建</w:t>
            </w:r>
            <w:r>
              <w:rPr>
                <w:rFonts w:hint="eastAsia" w:ascii="Times New Roman" w:hAnsi="Times New Roman"/>
                <w:color w:val="auto"/>
                <w:sz w:val="18"/>
                <w:szCs w:val="18"/>
                <w:lang w:eastAsia="zh-CN"/>
              </w:rPr>
              <w:t>临时</w:t>
            </w:r>
            <w:r>
              <w:rPr>
                <w:rFonts w:hint="eastAsia" w:ascii="Times New Roman" w:hAnsi="Times New Roman"/>
                <w:color w:val="auto"/>
                <w:sz w:val="18"/>
                <w:szCs w:val="18"/>
              </w:rPr>
              <w:t>线路</w:t>
            </w:r>
            <w:r>
              <w:rPr>
                <w:rFonts w:hint="eastAsia" w:ascii="Times New Roman" w:hAnsi="Times New Roman"/>
                <w:color w:val="auto"/>
                <w:sz w:val="18"/>
                <w:szCs w:val="18"/>
                <w:lang w:eastAsia="zh-CN"/>
              </w:rPr>
              <w:t>东南侧约</w:t>
            </w:r>
            <w:r>
              <w:rPr>
                <w:rFonts w:hint="eastAsia" w:ascii="Times New Roman" w:hAnsi="Times New Roman"/>
                <w:color w:val="auto"/>
                <w:sz w:val="18"/>
                <w:szCs w:val="18"/>
                <w:lang w:val="en-US" w:eastAsia="zh-CN"/>
              </w:rPr>
              <w:t>18m处</w:t>
            </w:r>
            <w:r>
              <w:rPr>
                <w:rFonts w:hint="eastAsia" w:ascii="Times New Roman" w:hAnsi="Times New Roman"/>
                <w:color w:val="auto"/>
                <w:sz w:val="18"/>
                <w:szCs w:val="18"/>
                <w:lang w:eastAsia="zh-CN"/>
              </w:rPr>
              <w:t>城镇永田村</w:t>
            </w:r>
            <w:r>
              <w:rPr>
                <w:rFonts w:hint="eastAsia" w:ascii="Times New Roman" w:hAnsi="Times New Roman"/>
                <w:color w:val="auto"/>
                <w:sz w:val="18"/>
                <w:szCs w:val="18"/>
                <w:lang w:val="en-US" w:eastAsia="zh-CN"/>
              </w:rPr>
              <w:t>1层平顶</w:t>
            </w:r>
            <w:r>
              <w:rPr>
                <w:rFonts w:hint="eastAsia" w:ascii="Times New Roman" w:hAnsi="Times New Roman"/>
                <w:color w:val="auto"/>
                <w:sz w:val="18"/>
                <w:szCs w:val="18"/>
                <w:lang w:eastAsia="zh-CN"/>
              </w:rPr>
              <w:t>看护房门口</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37-2</w:t>
            </w:r>
            <w:r>
              <w:rPr>
                <w:rFonts w:hint="eastAsia" w:ascii="Times New Roman" w:hAnsi="Times New Roman" w:cs="Times New Roman"/>
                <w:color w:val="auto"/>
                <w:sz w:val="18"/>
                <w:szCs w:val="18"/>
                <w:lang w:eastAsia="zh-CN"/>
              </w:rPr>
              <w:t>）</w:t>
            </w:r>
          </w:p>
        </w:tc>
        <w:tc>
          <w:tcPr>
            <w:tcW w:w="156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0.170 </w:t>
            </w:r>
          </w:p>
        </w:tc>
        <w:tc>
          <w:tcPr>
            <w:tcW w:w="1395"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9.489 </w:t>
            </w:r>
          </w:p>
        </w:tc>
        <w:tc>
          <w:tcPr>
            <w:tcW w:w="1530"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0.908 </w:t>
            </w:r>
          </w:p>
        </w:tc>
        <w:tc>
          <w:tcPr>
            <w:tcW w:w="1353" w:type="dxa"/>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lang w:val="en-US" w:eastAsia="zh-CN"/>
              </w:rPr>
              <w:t xml:space="preserve">9.664 </w:t>
            </w:r>
          </w:p>
        </w:tc>
      </w:tr>
    </w:tbl>
    <w:p>
      <w:pPr>
        <w:pStyle w:val="124"/>
        <w:spacing w:before="156" w:beforeLines="50" w:line="240" w:lineRule="auto"/>
        <w:ind w:firstLine="0" w:firstLineChars="0"/>
        <w:jc w:val="center"/>
        <w:rPr>
          <w:rFonts w:hint="eastAsia" w:eastAsia="宋体"/>
          <w:b/>
          <w:color w:val="auto"/>
          <w:sz w:val="24"/>
        </w:rPr>
      </w:pPr>
      <w:r>
        <w:rPr>
          <w:rFonts w:hint="eastAsia" w:ascii="Times New Roman" w:hAnsi="Times New Roman" w:eastAsia="宋体" w:cs="Times New Roman"/>
          <w:b/>
          <w:bCs/>
          <w:color w:val="auto"/>
          <w:kern w:val="2"/>
          <w:sz w:val="21"/>
          <w:szCs w:val="21"/>
          <w:lang w:val="en-US" w:eastAsia="zh-CN" w:bidi="ar-SA"/>
        </w:rPr>
        <w:t>表3-</w:t>
      </w:r>
      <w:r>
        <w:rPr>
          <w:rFonts w:hint="eastAsia" w:eastAsia="宋体" w:cs="Times New Roman"/>
          <w:b/>
          <w:bCs/>
          <w:color w:val="auto"/>
          <w:kern w:val="2"/>
          <w:sz w:val="21"/>
          <w:szCs w:val="21"/>
          <w:lang w:val="en-US" w:eastAsia="zh-CN" w:bidi="ar-SA"/>
        </w:rPr>
        <w:t>7</w:t>
      </w:r>
      <w:r>
        <w:rPr>
          <w:rFonts w:hint="eastAsia" w:ascii="Times New Roman" w:hAnsi="Times New Roman" w:eastAsia="宋体" w:cs="Times New Roman"/>
          <w:b/>
          <w:bCs/>
          <w:color w:val="auto"/>
          <w:kern w:val="2"/>
          <w:sz w:val="21"/>
          <w:szCs w:val="21"/>
          <w:lang w:val="en-US" w:eastAsia="zh-CN" w:bidi="ar-SA"/>
        </w:rPr>
        <w:t xml:space="preserve">  110kV线路不同高度处工频电场强度预测值</w:t>
      </w:r>
    </w:p>
    <w:tbl>
      <w:tblPr>
        <w:tblStyle w:val="50"/>
        <w:tblW w:w="9031" w:type="dxa"/>
        <w:jc w:val="center"/>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035"/>
        <w:gridCol w:w="1020"/>
        <w:gridCol w:w="747"/>
        <w:gridCol w:w="228"/>
        <w:gridCol w:w="945"/>
        <w:gridCol w:w="1080"/>
        <w:gridCol w:w="960"/>
        <w:gridCol w:w="1020"/>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01" w:type="dxa"/>
            <w:vMerge w:val="restart"/>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ascii="Times New Roman" w:hAnsi="Times New Roman"/>
                <w:bCs/>
                <w:color w:val="auto"/>
                <w:sz w:val="18"/>
                <w:szCs w:val="18"/>
              </w:rPr>
            </w:pPr>
            <w:r>
              <w:rPr>
                <w:rFonts w:hint="eastAsia" w:ascii="Times New Roman" w:hAnsi="Times New Roman"/>
                <w:color w:val="auto"/>
                <w:sz w:val="18"/>
                <w:szCs w:val="18"/>
              </w:rPr>
              <w:t>预测点距离</w:t>
            </w:r>
            <w:r>
              <w:rPr>
                <w:rFonts w:hint="eastAsia" w:ascii="Times New Roman" w:hAnsi="Times New Roman"/>
                <w:bCs/>
                <w:color w:val="auto"/>
                <w:sz w:val="18"/>
                <w:szCs w:val="18"/>
              </w:rPr>
              <w:t>地面高度</w:t>
            </w:r>
            <w:r>
              <w:rPr>
                <w:rFonts w:ascii="Times New Roman" w:hAnsi="Times New Roman"/>
                <w:bCs/>
                <w:color w:val="auto"/>
                <w:sz w:val="18"/>
                <w:szCs w:val="18"/>
              </w:rPr>
              <w:t xml:space="preserve"> (m)</w:t>
            </w:r>
          </w:p>
        </w:tc>
        <w:tc>
          <w:tcPr>
            <w:tcW w:w="3975" w:type="dxa"/>
            <w:gridSpan w:val="5"/>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导线对地高度1</w:t>
            </w:r>
            <w:r>
              <w:rPr>
                <w:rFonts w:hint="eastAsia" w:ascii="Times New Roman" w:hAnsi="Times New Roman"/>
                <w:bCs/>
                <w:color w:val="auto"/>
                <w:sz w:val="18"/>
                <w:szCs w:val="18"/>
                <w:lang w:val="en-US" w:eastAsia="zh-CN"/>
              </w:rPr>
              <w:t>1</w:t>
            </w:r>
            <w:r>
              <w:rPr>
                <w:rFonts w:hint="eastAsia" w:ascii="Times New Roman" w:hAnsi="Times New Roman"/>
                <w:bCs/>
                <w:color w:val="auto"/>
                <w:sz w:val="18"/>
                <w:szCs w:val="18"/>
                <w:lang w:eastAsia="zh-CN"/>
              </w:rPr>
              <w:t>m</w:t>
            </w:r>
          </w:p>
        </w:tc>
        <w:tc>
          <w:tcPr>
            <w:tcW w:w="4155" w:type="dxa"/>
            <w:gridSpan w:val="4"/>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导线对地高度1</w:t>
            </w:r>
            <w:r>
              <w:rPr>
                <w:rFonts w:hint="eastAsia" w:ascii="Times New Roman" w:hAnsi="Times New Roman"/>
                <w:bCs/>
                <w:color w:val="auto"/>
                <w:sz w:val="18"/>
                <w:szCs w:val="18"/>
                <w:lang w:val="en-US" w:eastAsia="zh-CN"/>
              </w:rPr>
              <w:t>9</w:t>
            </w:r>
            <w:r>
              <w:rPr>
                <w:rFonts w:hint="eastAsia" w:ascii="Times New Roman" w:hAnsi="Times New Roman"/>
                <w:bCs/>
                <w:color w:val="auto"/>
                <w:sz w:val="18"/>
                <w:szCs w:val="18"/>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01" w:type="dxa"/>
            <w:vMerge w:val="continue"/>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ascii="Times New Roman" w:hAnsi="Times New Roman"/>
                <w:b/>
                <w:bCs/>
                <w:color w:val="auto"/>
                <w:sz w:val="18"/>
                <w:szCs w:val="18"/>
              </w:rPr>
            </w:pPr>
          </w:p>
        </w:tc>
        <w:tc>
          <w:tcPr>
            <w:tcW w:w="1035"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同相序垂直排列</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逆相序垂直排列</w:t>
            </w:r>
          </w:p>
        </w:tc>
        <w:tc>
          <w:tcPr>
            <w:tcW w:w="975" w:type="dxa"/>
            <w:gridSpan w:val="2"/>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同相序垂直排列</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逆相序垂直排列</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同相序垂直排列</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逆相序垂直排列</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同相序垂直排列</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逆相序垂直排列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01" w:type="dxa"/>
            <w:vMerge w:val="continue"/>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ascii="Times New Roman" w:hAnsi="Times New Roman"/>
                <w:b/>
                <w:bCs/>
                <w:color w:val="auto"/>
                <w:sz w:val="18"/>
                <w:szCs w:val="18"/>
              </w:rPr>
            </w:pPr>
          </w:p>
        </w:tc>
        <w:tc>
          <w:tcPr>
            <w:tcW w:w="2055" w:type="dxa"/>
            <w:gridSpan w:val="2"/>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ascii="Times New Roman" w:hAnsi="Times New Roman"/>
                <w:bCs/>
                <w:color w:val="auto"/>
                <w:sz w:val="18"/>
                <w:szCs w:val="18"/>
              </w:rPr>
            </w:pPr>
            <w:r>
              <w:rPr>
                <w:rFonts w:hint="eastAsia" w:ascii="Times New Roman" w:hAnsi="Times New Roman"/>
                <w:bCs/>
                <w:color w:val="auto"/>
                <w:sz w:val="18"/>
                <w:szCs w:val="18"/>
                <w:lang w:eastAsia="zh-CN"/>
              </w:rPr>
              <w:t>跨越</w:t>
            </w:r>
            <w:r>
              <w:rPr>
                <w:rFonts w:hint="eastAsia" w:ascii="Times New Roman" w:hAnsi="Times New Roman"/>
                <w:bCs/>
                <w:color w:val="auto"/>
                <w:sz w:val="18"/>
                <w:szCs w:val="18"/>
              </w:rPr>
              <w:t>处的</w:t>
            </w:r>
            <w:r>
              <w:rPr>
                <w:rFonts w:ascii="Times New Roman" w:hAnsi="Times New Roman"/>
                <w:bCs/>
                <w:color w:val="auto"/>
                <w:sz w:val="18"/>
                <w:szCs w:val="18"/>
              </w:rPr>
              <w:t>工频电场强度（kV/m）</w:t>
            </w:r>
          </w:p>
        </w:tc>
        <w:tc>
          <w:tcPr>
            <w:tcW w:w="1920" w:type="dxa"/>
            <w:gridSpan w:val="3"/>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ascii="Times New Roman" w:hAnsi="Times New Roman"/>
                <w:color w:val="auto"/>
                <w:sz w:val="18"/>
                <w:szCs w:val="18"/>
              </w:rPr>
            </w:pPr>
            <w:r>
              <w:rPr>
                <w:rFonts w:hint="eastAsia" w:ascii="Times New Roman" w:hAnsi="Times New Roman"/>
                <w:bCs/>
                <w:color w:val="auto"/>
                <w:sz w:val="18"/>
                <w:szCs w:val="18"/>
              </w:rPr>
              <w:t>距离边导线</w:t>
            </w:r>
            <w:r>
              <w:rPr>
                <w:rFonts w:hint="eastAsia" w:ascii="Times New Roman" w:hAnsi="Times New Roman"/>
                <w:bCs/>
                <w:color w:val="auto"/>
                <w:sz w:val="18"/>
                <w:szCs w:val="18"/>
                <w:lang w:val="en-US" w:eastAsia="zh-CN"/>
              </w:rPr>
              <w:t>2</w:t>
            </w:r>
            <w:r>
              <w:rPr>
                <w:rFonts w:hint="eastAsia" w:ascii="Times New Roman" w:hAnsi="Times New Roman"/>
                <w:bCs/>
                <w:color w:val="auto"/>
                <w:sz w:val="18"/>
                <w:szCs w:val="18"/>
              </w:rPr>
              <w:t>m处的</w:t>
            </w:r>
            <w:r>
              <w:rPr>
                <w:rFonts w:ascii="Times New Roman" w:hAnsi="Times New Roman"/>
                <w:bCs/>
                <w:color w:val="auto"/>
                <w:sz w:val="18"/>
                <w:szCs w:val="18"/>
              </w:rPr>
              <w:t>工频电场强度（kV/m）</w:t>
            </w:r>
          </w:p>
        </w:tc>
        <w:tc>
          <w:tcPr>
            <w:tcW w:w="2040" w:type="dxa"/>
            <w:gridSpan w:val="2"/>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rPr>
            </w:pPr>
            <w:r>
              <w:rPr>
                <w:rFonts w:hint="eastAsia" w:ascii="Times New Roman" w:hAnsi="Times New Roman"/>
                <w:bCs/>
                <w:color w:val="auto"/>
                <w:sz w:val="18"/>
                <w:szCs w:val="18"/>
                <w:lang w:eastAsia="zh-CN"/>
              </w:rPr>
              <w:t>跨越</w:t>
            </w:r>
            <w:r>
              <w:rPr>
                <w:rFonts w:hint="eastAsia" w:ascii="Times New Roman" w:hAnsi="Times New Roman"/>
                <w:bCs/>
                <w:color w:val="auto"/>
                <w:sz w:val="18"/>
                <w:szCs w:val="18"/>
              </w:rPr>
              <w:t>处的</w:t>
            </w:r>
            <w:r>
              <w:rPr>
                <w:rFonts w:ascii="Times New Roman" w:hAnsi="Times New Roman"/>
                <w:bCs/>
                <w:color w:val="auto"/>
                <w:sz w:val="18"/>
                <w:szCs w:val="18"/>
              </w:rPr>
              <w:t>工频电场强度（kV/m）</w:t>
            </w:r>
          </w:p>
        </w:tc>
        <w:tc>
          <w:tcPr>
            <w:tcW w:w="2115" w:type="dxa"/>
            <w:gridSpan w:val="2"/>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rPr>
            </w:pPr>
            <w:r>
              <w:rPr>
                <w:rFonts w:hint="eastAsia" w:ascii="Times New Roman" w:hAnsi="Times New Roman"/>
                <w:bCs/>
                <w:color w:val="auto"/>
                <w:sz w:val="18"/>
                <w:szCs w:val="18"/>
              </w:rPr>
              <w:t>距离边导线</w:t>
            </w:r>
            <w:r>
              <w:rPr>
                <w:rFonts w:hint="eastAsia" w:ascii="Times New Roman" w:hAnsi="Times New Roman"/>
                <w:bCs/>
                <w:color w:val="auto"/>
                <w:sz w:val="18"/>
                <w:szCs w:val="18"/>
                <w:lang w:val="en-US" w:eastAsia="zh-CN"/>
              </w:rPr>
              <w:t>2</w:t>
            </w:r>
            <w:r>
              <w:rPr>
                <w:rFonts w:hint="eastAsia" w:ascii="Times New Roman" w:hAnsi="Times New Roman"/>
                <w:bCs/>
                <w:color w:val="auto"/>
                <w:sz w:val="18"/>
                <w:szCs w:val="18"/>
              </w:rPr>
              <w:t>m处的</w:t>
            </w:r>
            <w:r>
              <w:rPr>
                <w:rFonts w:ascii="Times New Roman" w:hAnsi="Times New Roman"/>
                <w:bCs/>
                <w:color w:val="auto"/>
                <w:sz w:val="18"/>
                <w:szCs w:val="18"/>
              </w:rPr>
              <w:t>工频电场强度（kV/m）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01"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4.5</w:t>
            </w:r>
          </w:p>
        </w:tc>
        <w:tc>
          <w:tcPr>
            <w:tcW w:w="1035"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default" w:ascii="Times New Roman" w:hAnsi="Times New Roman"/>
                <w:bCs/>
                <w:color w:val="auto"/>
                <w:sz w:val="18"/>
                <w:szCs w:val="18"/>
                <w:lang w:val="en-US" w:eastAsia="zh-CN"/>
              </w:rPr>
            </w:pPr>
            <w:r>
              <w:rPr>
                <w:rFonts w:hint="eastAsia" w:ascii="Times New Roman" w:hAnsi="Times New Roman"/>
                <w:bCs/>
                <w:color w:val="auto"/>
                <w:sz w:val="18"/>
                <w:szCs w:val="18"/>
                <w:lang w:eastAsia="zh-CN"/>
              </w:rPr>
              <w:t>3.426</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2.492</w:t>
            </w:r>
          </w:p>
        </w:tc>
        <w:tc>
          <w:tcPr>
            <w:tcW w:w="747"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default" w:ascii="Times New Roman" w:hAnsi="Times New Roman"/>
                <w:bCs/>
                <w:color w:val="auto"/>
                <w:sz w:val="18"/>
                <w:szCs w:val="18"/>
                <w:lang w:val="en-US" w:eastAsia="zh-CN"/>
              </w:rPr>
            </w:pPr>
            <w:r>
              <w:rPr>
                <w:rFonts w:hint="eastAsia" w:ascii="Times New Roman" w:hAnsi="Times New Roman"/>
                <w:bCs/>
                <w:color w:val="auto"/>
                <w:sz w:val="18"/>
                <w:szCs w:val="18"/>
                <w:lang w:eastAsia="zh-CN"/>
              </w:rPr>
              <w:t>3.628</w:t>
            </w:r>
          </w:p>
        </w:tc>
        <w:tc>
          <w:tcPr>
            <w:tcW w:w="1173" w:type="dxa"/>
            <w:gridSpan w:val="2"/>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2.729</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2.119</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0.859</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2.105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0.888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01"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7.5</w:t>
            </w:r>
          </w:p>
        </w:tc>
        <w:tc>
          <w:tcPr>
            <w:tcW w:w="1035"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2.312</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4.495</w:t>
            </w:r>
          </w:p>
        </w:tc>
        <w:tc>
          <w:tcPr>
            <w:tcW w:w="747"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3.181</w:t>
            </w:r>
          </w:p>
        </w:tc>
        <w:tc>
          <w:tcPr>
            <w:tcW w:w="1173" w:type="dxa"/>
            <w:gridSpan w:val="2"/>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4.922</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2.256</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1.321</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2.260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1.342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01"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10.5</w:t>
            </w:r>
          </w:p>
        </w:tc>
        <w:tc>
          <w:tcPr>
            <w:tcW w:w="1035"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2.272</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6.400</w:t>
            </w:r>
          </w:p>
        </w:tc>
        <w:tc>
          <w:tcPr>
            <w:tcW w:w="747"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3.962</w:t>
            </w:r>
          </w:p>
        </w:tc>
        <w:tc>
          <w:tcPr>
            <w:tcW w:w="1173" w:type="dxa"/>
            <w:gridSpan w:val="2"/>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7.413</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2.365</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2.139</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2.433</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2.163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01"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default" w:ascii="Times New Roman" w:hAnsi="Times New Roman"/>
                <w:bCs/>
                <w:color w:val="auto"/>
                <w:sz w:val="18"/>
                <w:szCs w:val="18"/>
                <w:lang w:val="en-US" w:eastAsia="zh-CN"/>
              </w:rPr>
            </w:pPr>
            <w:r>
              <w:rPr>
                <w:rFonts w:hint="eastAsia" w:ascii="Times New Roman" w:hAnsi="Times New Roman"/>
                <w:bCs/>
                <w:color w:val="auto"/>
                <w:sz w:val="18"/>
                <w:szCs w:val="18"/>
                <w:lang w:val="en-US" w:eastAsia="zh-CN"/>
              </w:rPr>
              <w:t>13.5</w:t>
            </w:r>
          </w:p>
        </w:tc>
        <w:tc>
          <w:tcPr>
            <w:tcW w:w="1035"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5.714</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6.216</w:t>
            </w:r>
          </w:p>
        </w:tc>
        <w:tc>
          <w:tcPr>
            <w:tcW w:w="747"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6.943</w:t>
            </w:r>
          </w:p>
        </w:tc>
        <w:tc>
          <w:tcPr>
            <w:tcW w:w="1173" w:type="dxa"/>
            <w:gridSpan w:val="2"/>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7.310</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2.111</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3.546</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2.438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before="31" w:beforeLines="10" w:after="31" w:afterLines="10"/>
              <w:ind w:firstLine="0" w:firstLineChars="0"/>
              <w:jc w:val="center"/>
              <w:textAlignment w:val="auto"/>
              <w:outlineLvl w:val="9"/>
              <w:rPr>
                <w:rFonts w:hint="eastAsia" w:ascii="Times New Roman" w:hAnsi="Times New Roman"/>
                <w:bCs/>
                <w:color w:val="auto"/>
                <w:sz w:val="18"/>
                <w:szCs w:val="18"/>
                <w:lang w:eastAsia="zh-CN"/>
              </w:rPr>
            </w:pPr>
            <w:r>
              <w:rPr>
                <w:rFonts w:hint="eastAsia" w:ascii="Times New Roman" w:hAnsi="Times New Roman"/>
                <w:bCs/>
                <w:color w:val="auto"/>
                <w:sz w:val="18"/>
                <w:szCs w:val="18"/>
                <w:lang w:eastAsia="zh-CN"/>
              </w:rPr>
              <w:t>3.649</w:t>
            </w:r>
          </w:p>
        </w:tc>
      </w:tr>
    </w:tbl>
    <w:p>
      <w:pPr>
        <w:spacing w:line="360" w:lineRule="auto"/>
        <w:ind w:firstLine="420" w:firstLineChars="200"/>
        <w:rPr>
          <w:rFonts w:hint="eastAsia" w:ascii="Times New Roman" w:hAnsi="Times New Roman"/>
          <w:color w:val="auto"/>
        </w:rPr>
      </w:pPr>
      <w:r>
        <w:rPr>
          <w:rFonts w:ascii="Times New Roman" w:hAnsi="Times New Roman"/>
          <w:color w:val="auto"/>
        </w:rPr>
        <w:t>从表</w:t>
      </w:r>
      <w:r>
        <w:rPr>
          <w:rFonts w:hint="eastAsia" w:ascii="Times New Roman" w:hAnsi="Times New Roman"/>
          <w:color w:val="auto"/>
        </w:rPr>
        <w:t>3-</w:t>
      </w:r>
      <w:r>
        <w:rPr>
          <w:rFonts w:hint="eastAsia" w:ascii="Times New Roman" w:hAnsi="Times New Roman"/>
          <w:color w:val="auto"/>
          <w:lang w:val="en-US" w:eastAsia="zh-CN"/>
        </w:rPr>
        <w:t>6</w:t>
      </w:r>
      <w:r>
        <w:rPr>
          <w:rFonts w:ascii="Times New Roman" w:hAnsi="Times New Roman"/>
          <w:color w:val="auto"/>
        </w:rPr>
        <w:t>中</w:t>
      </w:r>
      <w:r>
        <w:rPr>
          <w:rFonts w:hint="eastAsia" w:ascii="Times New Roman" w:hAnsi="Times New Roman"/>
          <w:color w:val="auto"/>
        </w:rPr>
        <w:t>保守</w:t>
      </w:r>
      <w:r>
        <w:rPr>
          <w:rFonts w:ascii="Times New Roman" w:hAnsi="Times New Roman"/>
          <w:color w:val="auto"/>
        </w:rPr>
        <w:t>预测结果可知，</w:t>
      </w:r>
      <w:r>
        <w:rPr>
          <w:rFonts w:hint="eastAsia" w:ascii="Times New Roman" w:hAnsi="Times New Roman"/>
          <w:color w:val="auto"/>
        </w:rPr>
        <w:t>线路导线对地高度为1</w:t>
      </w:r>
      <w:r>
        <w:rPr>
          <w:rFonts w:hint="eastAsia" w:ascii="Times New Roman" w:hAnsi="Times New Roman"/>
          <w:color w:val="auto"/>
          <w:lang w:val="en-US" w:eastAsia="zh-CN"/>
        </w:rPr>
        <w:t>1</w:t>
      </w:r>
      <w:r>
        <w:rPr>
          <w:rFonts w:ascii="Times New Roman" w:hAnsi="Times New Roman"/>
          <w:color w:val="auto"/>
        </w:rPr>
        <w:t>m</w:t>
      </w:r>
      <w:r>
        <w:rPr>
          <w:rFonts w:hint="eastAsia" w:ascii="Times New Roman" w:hAnsi="Times New Roman"/>
          <w:color w:val="auto"/>
        </w:rPr>
        <w:t>时，不论</w:t>
      </w:r>
      <w:r>
        <w:rPr>
          <w:rFonts w:ascii="Times New Roman" w:hAnsi="Times New Roman"/>
          <w:color w:val="auto"/>
        </w:rPr>
        <w:t>排列方式如何</w:t>
      </w:r>
      <w:r>
        <w:rPr>
          <w:rFonts w:hint="eastAsia" w:ascii="Times New Roman" w:hAnsi="Times New Roman"/>
          <w:color w:val="auto"/>
          <w:lang w:eastAsia="zh-CN"/>
        </w:rPr>
        <w:t>，</w:t>
      </w:r>
      <w:r>
        <w:rPr>
          <w:rFonts w:hint="eastAsia" w:ascii="Times New Roman" w:hAnsi="Times New Roman"/>
          <w:color w:val="auto"/>
        </w:rPr>
        <w:t>本线路环境保护目标处</w:t>
      </w:r>
      <w:r>
        <w:rPr>
          <w:rFonts w:ascii="Times New Roman" w:hAnsi="Times New Roman"/>
          <w:color w:val="auto"/>
        </w:rPr>
        <w:t>在地面1.5m高度处</w:t>
      </w:r>
      <w:r>
        <w:rPr>
          <w:rFonts w:hint="eastAsia" w:ascii="Times New Roman" w:hAnsi="Times New Roman"/>
          <w:color w:val="auto"/>
        </w:rPr>
        <w:t>的工频电磁场现状背景值与工频电磁场的最大预测值叠加后，</w:t>
      </w:r>
      <w:r>
        <w:rPr>
          <w:rFonts w:hint="eastAsia" w:ascii="Times New Roman" w:hAnsi="Times New Roman"/>
          <w:color w:val="auto"/>
          <w:lang w:eastAsia="zh-CN"/>
        </w:rPr>
        <w:t>均</w:t>
      </w:r>
      <w:r>
        <w:rPr>
          <w:rFonts w:hint="eastAsia" w:ascii="Times New Roman" w:hAnsi="Times New Roman"/>
          <w:color w:val="auto"/>
        </w:rPr>
        <w:t>满足“公众曝露控制限值”规定的工频电场强度</w:t>
      </w:r>
      <w:r>
        <w:rPr>
          <w:rFonts w:ascii="Times New Roman" w:hAnsi="Times New Roman"/>
          <w:color w:val="auto"/>
        </w:rPr>
        <w:t>4000V/m</w:t>
      </w:r>
      <w:r>
        <w:rPr>
          <w:rFonts w:hint="eastAsia" w:ascii="Times New Roman" w:hAnsi="Times New Roman"/>
          <w:color w:val="auto"/>
        </w:rPr>
        <w:t>（即</w:t>
      </w:r>
      <w:r>
        <w:rPr>
          <w:rFonts w:ascii="Times New Roman" w:hAnsi="Times New Roman"/>
          <w:color w:val="auto"/>
        </w:rPr>
        <w:t>4kV/m</w:t>
      </w:r>
      <w:r>
        <w:rPr>
          <w:rFonts w:hint="eastAsia" w:ascii="Times New Roman" w:hAnsi="Times New Roman"/>
          <w:color w:val="auto"/>
        </w:rPr>
        <w:t>）；工频磁感应强度</w:t>
      </w:r>
      <w:r>
        <w:rPr>
          <w:rFonts w:ascii="Times New Roman" w:hAnsi="Times New Roman"/>
          <w:color w:val="auto"/>
        </w:rPr>
        <w:t>100μT</w:t>
      </w:r>
      <w:r>
        <w:rPr>
          <w:rFonts w:hint="eastAsia" w:ascii="Times New Roman" w:hAnsi="Times New Roman"/>
          <w:color w:val="auto"/>
        </w:rPr>
        <w:t>控制限值的要求。</w:t>
      </w:r>
    </w:p>
    <w:p>
      <w:pPr>
        <w:spacing w:line="360" w:lineRule="auto"/>
        <w:ind w:firstLine="420" w:firstLineChars="200"/>
        <w:rPr>
          <w:rFonts w:ascii="Times New Roman" w:hAnsi="Times New Roman"/>
          <w:color w:val="auto"/>
        </w:rPr>
      </w:pPr>
      <w:r>
        <w:rPr>
          <w:rFonts w:hint="eastAsia" w:ascii="Times New Roman" w:hAnsi="Times New Roman"/>
          <w:color w:val="auto"/>
        </w:rPr>
        <w:t>从表3.</w:t>
      </w:r>
      <w:r>
        <w:rPr>
          <w:rFonts w:hint="eastAsia" w:ascii="Times New Roman" w:hAnsi="Times New Roman"/>
          <w:color w:val="auto"/>
          <w:lang w:val="en-US" w:eastAsia="zh-CN"/>
        </w:rPr>
        <w:t>7</w:t>
      </w:r>
      <w:r>
        <w:rPr>
          <w:rFonts w:hint="eastAsia" w:ascii="Times New Roman" w:hAnsi="Times New Roman"/>
          <w:color w:val="auto"/>
        </w:rPr>
        <w:t>中预测结果可知，当导线对地高度为1</w:t>
      </w:r>
      <w:r>
        <w:rPr>
          <w:rFonts w:hint="eastAsia" w:ascii="Times New Roman" w:hAnsi="Times New Roman"/>
          <w:color w:val="auto"/>
          <w:lang w:val="en-US" w:eastAsia="zh-CN"/>
        </w:rPr>
        <w:t>1</w:t>
      </w:r>
      <w:r>
        <w:rPr>
          <w:rFonts w:ascii="Times New Roman" w:hAnsi="Times New Roman"/>
          <w:color w:val="auto"/>
        </w:rPr>
        <w:t>m</w:t>
      </w:r>
      <w:r>
        <w:rPr>
          <w:rFonts w:hint="eastAsia" w:ascii="Times New Roman" w:hAnsi="Times New Roman"/>
          <w:color w:val="auto"/>
        </w:rPr>
        <w:t>时，线路</w:t>
      </w:r>
      <w:r>
        <w:rPr>
          <w:rFonts w:hint="eastAsia" w:ascii="Times New Roman" w:hAnsi="Times New Roman"/>
          <w:color w:val="auto"/>
          <w:lang w:eastAsia="zh-CN"/>
        </w:rPr>
        <w:t>跨越民房及线路</w:t>
      </w:r>
      <w:r>
        <w:rPr>
          <w:rFonts w:hint="eastAsia" w:ascii="Times New Roman" w:hAnsi="Times New Roman"/>
          <w:color w:val="auto"/>
        </w:rPr>
        <w:t>边导线外2m处有民房时，</w:t>
      </w:r>
      <w:r>
        <w:rPr>
          <w:rFonts w:hint="eastAsia" w:ascii="Times New Roman" w:hAnsi="Times New Roman"/>
          <w:color w:val="auto"/>
          <w:lang w:eastAsia="zh-CN"/>
        </w:rPr>
        <w:t>线路沿线</w:t>
      </w:r>
      <w:r>
        <w:rPr>
          <w:rFonts w:hint="eastAsia" w:ascii="Times New Roman" w:hAnsi="Times New Roman"/>
          <w:color w:val="auto"/>
        </w:rPr>
        <w:t>民房的一层、二层、三层</w:t>
      </w:r>
      <w:r>
        <w:rPr>
          <w:rFonts w:hint="eastAsia" w:ascii="Times New Roman" w:hAnsi="Times New Roman"/>
          <w:color w:val="auto"/>
          <w:lang w:eastAsia="zh-CN"/>
        </w:rPr>
        <w:t>及四层楼顶</w:t>
      </w:r>
      <w:r>
        <w:rPr>
          <w:rFonts w:hint="eastAsia" w:ascii="Times New Roman" w:hAnsi="Times New Roman"/>
          <w:color w:val="auto"/>
        </w:rPr>
        <w:t>处</w:t>
      </w:r>
      <w:r>
        <w:rPr>
          <w:rFonts w:hint="eastAsia" w:ascii="Times New Roman" w:hAnsi="Times New Roman"/>
          <w:color w:val="auto"/>
          <w:lang w:eastAsia="zh-CN"/>
        </w:rPr>
        <w:t>的</w:t>
      </w:r>
      <w:r>
        <w:rPr>
          <w:rFonts w:hint="eastAsia" w:ascii="Times New Roman" w:hAnsi="Times New Roman"/>
          <w:color w:val="auto"/>
        </w:rPr>
        <w:t>工频电场强度、工频磁感应强度均</w:t>
      </w:r>
      <w:r>
        <w:rPr>
          <w:rFonts w:hint="eastAsia" w:ascii="Times New Roman" w:hAnsi="Times New Roman"/>
          <w:color w:val="auto"/>
          <w:lang w:eastAsia="zh-CN"/>
        </w:rPr>
        <w:t>不</w:t>
      </w:r>
      <w:r>
        <w:rPr>
          <w:rFonts w:hint="eastAsia" w:ascii="Times New Roman" w:hAnsi="Times New Roman"/>
          <w:color w:val="auto"/>
        </w:rPr>
        <w:t>能满足4kV/m的标准</w:t>
      </w:r>
      <w:r>
        <w:rPr>
          <w:rFonts w:hint="eastAsia" w:ascii="Times New Roman" w:hAnsi="Times New Roman"/>
          <w:color w:val="auto"/>
          <w:lang w:eastAsia="zh-CN"/>
        </w:rPr>
        <w:t>限值要求；但当导线对地高度</w:t>
      </w:r>
      <w:r>
        <w:rPr>
          <w:rFonts w:hint="eastAsia" w:ascii="Times New Roman" w:hAnsi="Times New Roman"/>
          <w:color w:val="auto"/>
        </w:rPr>
        <w:t>为1</w:t>
      </w:r>
      <w:r>
        <w:rPr>
          <w:rFonts w:hint="eastAsia" w:ascii="Times New Roman" w:hAnsi="Times New Roman"/>
          <w:color w:val="auto"/>
          <w:lang w:val="en-US" w:eastAsia="zh-CN"/>
        </w:rPr>
        <w:t>9</w:t>
      </w:r>
      <w:r>
        <w:rPr>
          <w:rFonts w:ascii="Times New Roman" w:hAnsi="Times New Roman"/>
          <w:color w:val="auto"/>
        </w:rPr>
        <w:t>m</w:t>
      </w:r>
      <w:r>
        <w:rPr>
          <w:rFonts w:hint="eastAsia" w:ascii="Times New Roman" w:hAnsi="Times New Roman"/>
          <w:color w:val="auto"/>
        </w:rPr>
        <w:t>时，</w:t>
      </w:r>
      <w:r>
        <w:rPr>
          <w:rFonts w:hint="eastAsia" w:ascii="Times New Roman" w:hAnsi="Times New Roman"/>
          <w:color w:val="auto"/>
          <w:lang w:eastAsia="zh-CN"/>
        </w:rPr>
        <w:t>不论</w:t>
      </w:r>
      <w:r>
        <w:rPr>
          <w:rFonts w:hint="eastAsia" w:ascii="Times New Roman" w:hAnsi="Times New Roman"/>
          <w:color w:val="auto"/>
        </w:rPr>
        <w:t>排列方式如何，线路</w:t>
      </w:r>
      <w:r>
        <w:rPr>
          <w:rFonts w:hint="eastAsia" w:ascii="Times New Roman" w:hAnsi="Times New Roman"/>
          <w:color w:val="auto"/>
          <w:lang w:eastAsia="zh-CN"/>
        </w:rPr>
        <w:t>跨越民房及线路</w:t>
      </w:r>
      <w:r>
        <w:rPr>
          <w:rFonts w:hint="eastAsia" w:ascii="Times New Roman" w:hAnsi="Times New Roman"/>
          <w:color w:val="auto"/>
        </w:rPr>
        <w:t>边导线外2m处有民房时，</w:t>
      </w:r>
      <w:r>
        <w:rPr>
          <w:rFonts w:hint="eastAsia" w:ascii="Times New Roman" w:hAnsi="Times New Roman"/>
          <w:color w:val="auto"/>
          <w:lang w:eastAsia="zh-CN"/>
        </w:rPr>
        <w:t>线路沿线</w:t>
      </w:r>
      <w:r>
        <w:rPr>
          <w:rFonts w:hint="eastAsia" w:ascii="Times New Roman" w:hAnsi="Times New Roman"/>
          <w:color w:val="auto"/>
        </w:rPr>
        <w:t>民房的一层、二层、三层</w:t>
      </w:r>
      <w:r>
        <w:rPr>
          <w:rFonts w:hint="eastAsia" w:ascii="Times New Roman" w:hAnsi="Times New Roman"/>
          <w:color w:val="auto"/>
          <w:lang w:eastAsia="zh-CN"/>
        </w:rPr>
        <w:t>及四层楼顶</w:t>
      </w:r>
      <w:r>
        <w:rPr>
          <w:rFonts w:hint="eastAsia" w:ascii="Times New Roman" w:hAnsi="Times New Roman"/>
          <w:color w:val="auto"/>
        </w:rPr>
        <w:t>处</w:t>
      </w:r>
      <w:r>
        <w:rPr>
          <w:rFonts w:hint="eastAsia" w:ascii="Times New Roman" w:hAnsi="Times New Roman"/>
          <w:color w:val="auto"/>
          <w:lang w:eastAsia="zh-CN"/>
        </w:rPr>
        <w:t>的</w:t>
      </w:r>
      <w:r>
        <w:rPr>
          <w:rFonts w:hint="eastAsia" w:ascii="Times New Roman" w:hAnsi="Times New Roman"/>
          <w:color w:val="auto"/>
        </w:rPr>
        <w:t>工频电场强度、工频磁感应强度均能满足4kV/m的标准</w:t>
      </w:r>
      <w:r>
        <w:rPr>
          <w:rFonts w:hint="eastAsia" w:ascii="Times New Roman" w:hAnsi="Times New Roman"/>
          <w:color w:val="auto"/>
          <w:lang w:eastAsia="zh-CN"/>
        </w:rPr>
        <w:t>限值要求</w:t>
      </w:r>
      <w:r>
        <w:rPr>
          <w:rFonts w:hint="eastAsia" w:ascii="Times New Roman" w:hAnsi="Times New Roman"/>
          <w:color w:val="auto"/>
        </w:rPr>
        <w:t>。</w:t>
      </w:r>
    </w:p>
    <w:p>
      <w:pPr>
        <w:pStyle w:val="9"/>
        <w:spacing w:line="360" w:lineRule="auto"/>
        <w:ind w:left="0" w:firstLine="0"/>
        <w:rPr>
          <w:b/>
          <w:bCs/>
          <w:color w:val="auto"/>
          <w:sz w:val="21"/>
        </w:rPr>
      </w:pPr>
      <w:r>
        <w:rPr>
          <w:rFonts w:hint="eastAsia"/>
          <w:b/>
          <w:color w:val="auto"/>
          <w:sz w:val="21"/>
        </w:rPr>
        <w:t>3.2.</w:t>
      </w:r>
      <w:r>
        <w:rPr>
          <w:rFonts w:hint="eastAsia"/>
          <w:b/>
          <w:color w:val="auto"/>
          <w:sz w:val="21"/>
          <w:lang w:val="en-US" w:eastAsia="zh-CN"/>
        </w:rPr>
        <w:t>3</w:t>
      </w:r>
      <w:r>
        <w:rPr>
          <w:rFonts w:hint="eastAsia"/>
          <w:b/>
          <w:color w:val="auto"/>
          <w:sz w:val="21"/>
        </w:rPr>
        <w:t>计算结果</w:t>
      </w:r>
    </w:p>
    <w:p>
      <w:pPr>
        <w:spacing w:line="360" w:lineRule="auto"/>
        <w:ind w:firstLine="420" w:firstLineChars="200"/>
        <w:rPr>
          <w:rFonts w:ascii="Times New Roman" w:hAnsi="Times New Roman"/>
          <w:color w:val="auto"/>
        </w:rPr>
      </w:pPr>
      <w:r>
        <w:rPr>
          <w:rFonts w:hint="eastAsia" w:ascii="Times New Roman" w:hAnsi="Times New Roman"/>
          <w:color w:val="auto"/>
        </w:rPr>
        <w:t>由现状监测结果可知：拟建线路附近环境保护目标处的</w:t>
      </w:r>
      <w:r>
        <w:rPr>
          <w:rFonts w:ascii="Times New Roman" w:hAnsi="Times New Roman"/>
          <w:color w:val="auto"/>
        </w:rPr>
        <w:t>工频电场强度、工频磁感应强度均</w:t>
      </w:r>
      <w:r>
        <w:rPr>
          <w:rFonts w:hint="eastAsia" w:ascii="Times New Roman" w:hAnsi="Times New Roman"/>
          <w:color w:val="auto"/>
        </w:rPr>
        <w:t>小于《电磁环境控制限值》（GB 8702-2014）</w:t>
      </w:r>
      <w:r>
        <w:rPr>
          <w:rFonts w:ascii="Times New Roman" w:hAnsi="Times New Roman"/>
          <w:color w:val="auto"/>
        </w:rPr>
        <w:t>中</w:t>
      </w:r>
      <w:r>
        <w:rPr>
          <w:rFonts w:hint="eastAsia" w:ascii="Times New Roman" w:hAnsi="Times New Roman"/>
          <w:color w:val="auto"/>
        </w:rPr>
        <w:t>“公众曝露控制限值”规定的工频电场强度4000V/m（即4kV/m）、工频磁感应强度100</w:t>
      </w:r>
      <w:r>
        <w:rPr>
          <w:rFonts w:ascii="Times New Roman" w:hAnsi="Times New Roman"/>
          <w:color w:val="auto"/>
        </w:rPr>
        <w:t>μ</w:t>
      </w:r>
      <w:r>
        <w:rPr>
          <w:rFonts w:hint="eastAsia" w:ascii="Times New Roman" w:hAnsi="Times New Roman"/>
          <w:color w:val="auto"/>
        </w:rPr>
        <w:t>T的控制限值</w:t>
      </w:r>
      <w:r>
        <w:rPr>
          <w:rFonts w:ascii="Times New Roman" w:hAnsi="Times New Roman"/>
          <w:color w:val="auto"/>
        </w:rPr>
        <w:t>。</w:t>
      </w:r>
    </w:p>
    <w:p>
      <w:pPr>
        <w:spacing w:line="360" w:lineRule="auto"/>
        <w:ind w:firstLine="420" w:firstLineChars="200"/>
        <w:rPr>
          <w:rFonts w:hint="eastAsia" w:ascii="Times New Roman" w:hAnsi="Times New Roman"/>
          <w:color w:val="auto"/>
        </w:rPr>
      </w:pPr>
      <w:r>
        <w:rPr>
          <w:rFonts w:ascii="Times New Roman" w:hAnsi="Times New Roman"/>
          <w:color w:val="auto"/>
        </w:rPr>
        <w:t>通过</w:t>
      </w:r>
      <w:r>
        <w:rPr>
          <w:rFonts w:hint="eastAsia" w:ascii="Times New Roman" w:hAnsi="Times New Roman"/>
          <w:color w:val="auto"/>
        </w:rPr>
        <w:t>类比</w:t>
      </w:r>
      <w:r>
        <w:rPr>
          <w:rFonts w:ascii="Times New Roman" w:hAnsi="Times New Roman"/>
          <w:color w:val="auto"/>
        </w:rPr>
        <w:t>监测</w:t>
      </w:r>
      <w:r>
        <w:rPr>
          <w:rFonts w:hint="eastAsia" w:ascii="Times New Roman" w:hAnsi="Times New Roman"/>
          <w:color w:val="auto"/>
        </w:rPr>
        <w:t>和理论</w:t>
      </w:r>
      <w:r>
        <w:rPr>
          <w:rFonts w:ascii="Times New Roman" w:hAnsi="Times New Roman"/>
          <w:color w:val="auto"/>
        </w:rPr>
        <w:t>预测结果</w:t>
      </w:r>
      <w:r>
        <w:rPr>
          <w:rFonts w:hint="eastAsia" w:ascii="Times New Roman" w:hAnsi="Times New Roman"/>
          <w:color w:val="auto"/>
        </w:rPr>
        <w:t>分析</w:t>
      </w:r>
      <w:r>
        <w:rPr>
          <w:rFonts w:ascii="Times New Roman" w:hAnsi="Times New Roman"/>
          <w:color w:val="auto"/>
        </w:rPr>
        <w:t>表明</w:t>
      </w:r>
      <w:r>
        <w:rPr>
          <w:rFonts w:hint="eastAsia" w:ascii="Times New Roman" w:hAnsi="Times New Roman"/>
          <w:color w:val="auto"/>
        </w:rPr>
        <w:t>，220</w:t>
      </w:r>
      <w:r>
        <w:rPr>
          <w:rFonts w:ascii="Times New Roman" w:hAnsi="Times New Roman"/>
          <w:color w:val="auto"/>
        </w:rPr>
        <w:t>kV</w:t>
      </w:r>
      <w:r>
        <w:rPr>
          <w:rFonts w:hint="eastAsia" w:ascii="Times New Roman" w:hAnsi="Times New Roman"/>
          <w:color w:val="auto"/>
        </w:rPr>
        <w:t>架空输电线路导线对地高度为1</w:t>
      </w:r>
      <w:r>
        <w:rPr>
          <w:rFonts w:hint="eastAsia" w:ascii="Times New Roman" w:hAnsi="Times New Roman"/>
          <w:color w:val="auto"/>
          <w:lang w:val="en-US" w:eastAsia="zh-CN"/>
        </w:rPr>
        <w:t>1</w:t>
      </w:r>
      <w:r>
        <w:rPr>
          <w:rFonts w:ascii="Times New Roman" w:hAnsi="Times New Roman"/>
          <w:color w:val="auto"/>
        </w:rPr>
        <w:t>m</w:t>
      </w:r>
      <w:r>
        <w:rPr>
          <w:rFonts w:hint="eastAsia" w:ascii="Times New Roman" w:hAnsi="Times New Roman"/>
          <w:color w:val="auto"/>
        </w:rPr>
        <w:t>时，</w:t>
      </w:r>
      <w:r>
        <w:rPr>
          <w:rFonts w:hint="eastAsia" w:ascii="Times New Roman" w:hAnsi="Times New Roman"/>
          <w:color w:val="auto"/>
          <w:lang w:eastAsia="zh-CN"/>
        </w:rPr>
        <w:t>不论排列方式如何，</w:t>
      </w:r>
      <w:r>
        <w:rPr>
          <w:rFonts w:ascii="Times New Roman" w:hAnsi="Times New Roman"/>
          <w:color w:val="auto"/>
        </w:rPr>
        <w:t>在地面1.5m高度处</w:t>
      </w:r>
      <w:r>
        <w:rPr>
          <w:rFonts w:hint="eastAsia" w:ascii="Times New Roman" w:hAnsi="Times New Roman"/>
          <w:color w:val="auto"/>
        </w:rPr>
        <w:t>产生的工频电场强度、工频磁感应强度均小于《电磁环境控制限值》（GB 8702-2014）中规定的工频电场强度、工频磁感应强度分别满足4kV/m（公众曝露控制限值），10kV/m（架空线路经过耕地、林地、道路等场所时）、100μT控制标准的要求。</w:t>
      </w:r>
      <w:r>
        <w:rPr>
          <w:rFonts w:hint="eastAsia" w:ascii="Times New Roman" w:hAnsi="Times New Roman"/>
          <w:color w:val="auto"/>
          <w:lang w:eastAsia="zh-CN"/>
        </w:rPr>
        <w:t>当导线对地高度</w:t>
      </w:r>
      <w:r>
        <w:rPr>
          <w:rFonts w:hint="eastAsia" w:ascii="Times New Roman" w:hAnsi="Times New Roman"/>
          <w:color w:val="auto"/>
        </w:rPr>
        <w:t>为1</w:t>
      </w:r>
      <w:r>
        <w:rPr>
          <w:rFonts w:hint="eastAsia" w:ascii="Times New Roman" w:hAnsi="Times New Roman"/>
          <w:color w:val="auto"/>
          <w:lang w:val="en-US" w:eastAsia="zh-CN"/>
        </w:rPr>
        <w:t>9</w:t>
      </w:r>
      <w:r>
        <w:rPr>
          <w:rFonts w:hint="eastAsia" w:ascii="Times New Roman" w:hAnsi="Times New Roman"/>
          <w:color w:val="auto"/>
        </w:rPr>
        <w:t>m，线路</w:t>
      </w:r>
      <w:r>
        <w:rPr>
          <w:rFonts w:hint="eastAsia" w:ascii="Times New Roman" w:hAnsi="Times New Roman"/>
          <w:color w:val="auto"/>
          <w:lang w:eastAsia="zh-CN"/>
        </w:rPr>
        <w:t>跨越民房及线路</w:t>
      </w:r>
      <w:r>
        <w:rPr>
          <w:rFonts w:hint="eastAsia" w:ascii="Times New Roman" w:hAnsi="Times New Roman"/>
          <w:color w:val="auto"/>
        </w:rPr>
        <w:t>边导线外2m处有民房时，</w:t>
      </w:r>
      <w:r>
        <w:rPr>
          <w:rFonts w:hint="eastAsia" w:ascii="Times New Roman" w:hAnsi="Times New Roman"/>
          <w:color w:val="auto"/>
          <w:lang w:eastAsia="zh-CN"/>
        </w:rPr>
        <w:t>不论</w:t>
      </w:r>
      <w:r>
        <w:rPr>
          <w:rFonts w:hint="eastAsia" w:ascii="Times New Roman" w:hAnsi="Times New Roman"/>
          <w:color w:val="auto"/>
        </w:rPr>
        <w:t>排列方式如何，民房的一层、二层、三层</w:t>
      </w:r>
      <w:r>
        <w:rPr>
          <w:rFonts w:hint="eastAsia" w:ascii="Times New Roman" w:hAnsi="Times New Roman"/>
          <w:color w:val="auto"/>
          <w:lang w:eastAsia="zh-CN"/>
        </w:rPr>
        <w:t>及四层楼顶</w:t>
      </w:r>
      <w:r>
        <w:rPr>
          <w:rFonts w:hint="eastAsia" w:ascii="Times New Roman" w:hAnsi="Times New Roman"/>
          <w:color w:val="auto"/>
        </w:rPr>
        <w:t>处</w:t>
      </w:r>
      <w:r>
        <w:rPr>
          <w:rFonts w:hint="eastAsia" w:ascii="Times New Roman" w:hAnsi="Times New Roman"/>
          <w:color w:val="auto"/>
          <w:lang w:eastAsia="zh-CN"/>
        </w:rPr>
        <w:t>的</w:t>
      </w:r>
      <w:r>
        <w:rPr>
          <w:rFonts w:hint="eastAsia" w:ascii="Times New Roman" w:hAnsi="Times New Roman"/>
          <w:color w:val="auto"/>
        </w:rPr>
        <w:t>工频电场强度、工频磁感应强度均能满足4kV/m的标准</w:t>
      </w:r>
      <w:r>
        <w:rPr>
          <w:rFonts w:hint="eastAsia" w:ascii="Times New Roman" w:hAnsi="Times New Roman"/>
          <w:color w:val="auto"/>
          <w:lang w:eastAsia="zh-CN"/>
        </w:rPr>
        <w:t>限值要求</w:t>
      </w:r>
      <w:r>
        <w:rPr>
          <w:rFonts w:hint="eastAsia" w:ascii="Times New Roman" w:hAnsi="Times New Roman"/>
          <w:color w:val="auto"/>
        </w:rPr>
        <w:t>。</w:t>
      </w:r>
    </w:p>
    <w:p>
      <w:pPr>
        <w:spacing w:line="360" w:lineRule="auto"/>
        <w:ind w:firstLine="420" w:firstLineChars="200"/>
        <w:rPr>
          <w:rFonts w:ascii="Times New Roman" w:hAnsi="Times New Roman"/>
          <w:color w:val="auto"/>
        </w:rPr>
      </w:pPr>
    </w:p>
    <w:p>
      <w:pPr>
        <w:spacing w:line="360" w:lineRule="auto"/>
        <w:ind w:firstLine="420" w:firstLineChars="200"/>
        <w:rPr>
          <w:rFonts w:ascii="Times New Roman" w:hAnsi="Times New Roman"/>
          <w:color w:val="auto"/>
        </w:rPr>
        <w:sectPr>
          <w:headerReference r:id="rId11" w:type="default"/>
          <w:footerReference r:id="rId12" w:type="default"/>
          <w:pgSz w:w="11906" w:h="16838"/>
          <w:pgMar w:top="1440" w:right="1287" w:bottom="1440" w:left="1797"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pPr>
        <w:spacing w:line="360" w:lineRule="auto"/>
        <w:rPr>
          <w:rFonts w:hint="eastAsia" w:ascii="Times New Roman" w:hAnsi="Times New Roman" w:eastAsia="宋体"/>
          <w:color w:val="auto"/>
          <w:lang w:eastAsia="zh-CN"/>
        </w:rPr>
      </w:pPr>
      <w:r>
        <w:rPr>
          <w:rFonts w:hint="eastAsia" w:ascii="Times New Roman" w:hAnsi="Times New Roman"/>
          <w:color w:val="auto"/>
        </w:rPr>
        <w:t xml:space="preserve">                 </w:t>
      </w:r>
      <w:r>
        <w:rPr>
          <w:rFonts w:hint="eastAsia" w:ascii="Times New Roman" w:hAnsi="Times New Roman" w:eastAsia="宋体"/>
          <w:color w:val="auto"/>
          <w:lang w:eastAsia="zh-CN"/>
        </w:rPr>
        <w:drawing>
          <wp:inline distT="0" distB="0" distL="114300" distR="114300">
            <wp:extent cx="5622290" cy="5383530"/>
            <wp:effectExtent l="0" t="0" r="16510" b="7620"/>
            <wp:docPr id="38" name="图片 38" descr="图1  本工程地理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1  本工程地理位置示意图"/>
                    <pic:cNvPicPr>
                      <a:picLocks noChangeAspect="1"/>
                    </pic:cNvPicPr>
                  </pic:nvPicPr>
                  <pic:blipFill>
                    <a:blip r:embed="rId70"/>
                    <a:srcRect l="16564" t="3255" r="14974" b="3967"/>
                    <a:stretch>
                      <a:fillRect/>
                    </a:stretch>
                  </pic:blipFill>
                  <pic:spPr>
                    <a:xfrm>
                      <a:off x="0" y="0"/>
                      <a:ext cx="5622290" cy="5383530"/>
                    </a:xfrm>
                    <a:prstGeom prst="rect">
                      <a:avLst/>
                    </a:prstGeom>
                  </pic:spPr>
                </pic:pic>
              </a:graphicData>
            </a:graphic>
          </wp:inline>
        </w:drawing>
      </w:r>
    </w:p>
    <w:sectPr>
      <w:headerReference r:id="rId13" w:type="default"/>
      <w:footerReference r:id="rId14" w:type="default"/>
      <w:pgSz w:w="11906" w:h="16838"/>
      <w:pgMar w:top="1474" w:right="1418" w:bottom="1418" w:left="1418" w:header="907" w:footer="851" w:gutter="284"/>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rPr>
        <w:rFonts w:hint="eastAsia"/>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rPr>
        <w:rFonts w:hint="eastAsia"/>
        <w:lang w:eastAsia="zh-CN"/>
      </w:rPr>
    </w:pPr>
    <w:r>
      <w:fldChar w:fldCharType="begin"/>
    </w:r>
    <w:r>
      <w:rPr>
        <w:rStyle w:val="45"/>
      </w:rPr>
      <w:instrText xml:space="preserve"> PAGE </w:instrText>
    </w:r>
    <w:r>
      <w:fldChar w:fldCharType="separate"/>
    </w:r>
    <w:r>
      <w:rPr>
        <w:rStyle w:val="45"/>
      </w:rPr>
      <w:t>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rPr>
        <w:rFonts w:hint="eastAsia"/>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rPr>
        <w:rFonts w:hint="eastAsia"/>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rPr>
        <w:rFonts w:hint="eastAsia"/>
        <w:lang w:eastAsia="zh-CN"/>
      </w:rPr>
    </w:pPr>
    <w:r>
      <w:fldChar w:fldCharType="begin"/>
    </w:r>
    <w:r>
      <w:rPr>
        <w:rStyle w:val="45"/>
      </w:rPr>
      <w:instrText xml:space="preserve"> PAGE </w:instrText>
    </w:r>
    <w:r>
      <w:fldChar w:fldCharType="separate"/>
    </w:r>
    <w:r>
      <w:rPr>
        <w:rStyle w:val="45"/>
      </w:rPr>
      <w:t>15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jc w:val="both"/>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rPr>
        <w:lang w:eastAsia="zh-CN"/>
      </w:rPr>
    </w:pPr>
    <w:r>
      <w:rPr>
        <w:rFonts w:hint="eastAsia" w:hAnsi="宋体" w:cs="宋体"/>
      </w:rPr>
      <w:t>文昌气电π接220kV玉洲至江东线路新建工程</w:t>
    </w:r>
    <w:r>
      <w:rPr>
        <w:rFonts w:hint="eastAsia"/>
        <w:lang w:eastAsia="zh-CN"/>
      </w:rPr>
      <w:t>环境影响报告表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widowControl w:val="0"/>
      <w:pBdr>
        <w:top w:val="none" w:color="auto" w:sz="0" w:space="1"/>
        <w:left w:val="none" w:color="auto" w:sz="0" w:space="4"/>
        <w:bottom w:val="none" w:color="auto" w:sz="0" w:space="1"/>
        <w:right w:val="none" w:color="auto" w:sz="0" w:space="4"/>
        <w:between w:val="none" w:color="auto" w:sz="0" w:space="0"/>
      </w:pBdr>
      <w:snapToGrid w:val="0"/>
      <w:jc w:val="center"/>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widowControl w:val="0"/>
      <w:pBdr>
        <w:top w:val="none" w:color="auto" w:sz="0" w:space="1"/>
        <w:left w:val="none" w:color="auto" w:sz="0" w:space="4"/>
        <w:bottom w:val="none" w:color="auto" w:sz="0" w:space="1"/>
        <w:right w:val="none" w:color="auto" w:sz="0" w:space="4"/>
        <w:between w:val="none" w:color="auto" w:sz="0" w:space="0"/>
      </w:pBdr>
      <w:snapToGrid w:val="0"/>
      <w:jc w:val="center"/>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rPr>
        <w:lang w:eastAsia="zh-CN"/>
      </w:rPr>
    </w:pPr>
    <w:r>
      <w:rPr>
        <w:rFonts w:hint="eastAsia" w:cs="宋体"/>
      </w:rPr>
      <w:t>文昌气电π接220kV玉洲至江东线路新建工程</w:t>
    </w:r>
    <w:r>
      <w:rPr>
        <w:rFonts w:hint="eastAsia"/>
        <w:lang w:eastAsia="zh-CN"/>
      </w:rPr>
      <w:t>环境影响报告表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397B2F"/>
    <w:multiLevelType w:val="singleLevel"/>
    <w:tmpl w:val="B0397B2F"/>
    <w:lvl w:ilvl="0" w:tentative="0">
      <w:start w:val="1"/>
      <w:numFmt w:val="decimal"/>
      <w:suff w:val="nothing"/>
      <w:lvlText w:val="%1、"/>
      <w:lvlJc w:val="left"/>
    </w:lvl>
  </w:abstractNum>
  <w:abstractNum w:abstractNumId="1">
    <w:nsid w:val="2C3EF33D"/>
    <w:multiLevelType w:val="singleLevel"/>
    <w:tmpl w:val="2C3EF33D"/>
    <w:lvl w:ilvl="0" w:tentative="0">
      <w:start w:val="1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267"/>
    <w:rsid w:val="00001789"/>
    <w:rsid w:val="000027C9"/>
    <w:rsid w:val="00003AA2"/>
    <w:rsid w:val="0000516D"/>
    <w:rsid w:val="00005653"/>
    <w:rsid w:val="000072A0"/>
    <w:rsid w:val="000102F9"/>
    <w:rsid w:val="00012AAC"/>
    <w:rsid w:val="0001340F"/>
    <w:rsid w:val="000144CA"/>
    <w:rsid w:val="00015385"/>
    <w:rsid w:val="000163ED"/>
    <w:rsid w:val="0002350D"/>
    <w:rsid w:val="00032FDA"/>
    <w:rsid w:val="00034F25"/>
    <w:rsid w:val="00035A16"/>
    <w:rsid w:val="000376C4"/>
    <w:rsid w:val="00037D76"/>
    <w:rsid w:val="000417C7"/>
    <w:rsid w:val="000459E9"/>
    <w:rsid w:val="000504FD"/>
    <w:rsid w:val="00051418"/>
    <w:rsid w:val="00053646"/>
    <w:rsid w:val="00067456"/>
    <w:rsid w:val="000705E8"/>
    <w:rsid w:val="000752EA"/>
    <w:rsid w:val="00076800"/>
    <w:rsid w:val="0008075E"/>
    <w:rsid w:val="000830A3"/>
    <w:rsid w:val="00084A5D"/>
    <w:rsid w:val="00085EDA"/>
    <w:rsid w:val="000867B9"/>
    <w:rsid w:val="00090287"/>
    <w:rsid w:val="000928D5"/>
    <w:rsid w:val="0009547B"/>
    <w:rsid w:val="00097A3C"/>
    <w:rsid w:val="000A1B1B"/>
    <w:rsid w:val="000A1C91"/>
    <w:rsid w:val="000B1484"/>
    <w:rsid w:val="000B2760"/>
    <w:rsid w:val="000B35F4"/>
    <w:rsid w:val="000B4B24"/>
    <w:rsid w:val="000B75BB"/>
    <w:rsid w:val="000B797A"/>
    <w:rsid w:val="000C00DC"/>
    <w:rsid w:val="000C24AD"/>
    <w:rsid w:val="000C4E4B"/>
    <w:rsid w:val="000C7527"/>
    <w:rsid w:val="000D10DA"/>
    <w:rsid w:val="000D26B7"/>
    <w:rsid w:val="000D2F5C"/>
    <w:rsid w:val="000D4CED"/>
    <w:rsid w:val="000D5740"/>
    <w:rsid w:val="000D59E3"/>
    <w:rsid w:val="000E0607"/>
    <w:rsid w:val="000E0C7B"/>
    <w:rsid w:val="000E1325"/>
    <w:rsid w:val="000E2728"/>
    <w:rsid w:val="000E2A69"/>
    <w:rsid w:val="000E3203"/>
    <w:rsid w:val="000E4553"/>
    <w:rsid w:val="000E4BC1"/>
    <w:rsid w:val="000E71D2"/>
    <w:rsid w:val="000E737A"/>
    <w:rsid w:val="000F20FC"/>
    <w:rsid w:val="000F34C7"/>
    <w:rsid w:val="000F5671"/>
    <w:rsid w:val="001003E7"/>
    <w:rsid w:val="00100AD9"/>
    <w:rsid w:val="00100F63"/>
    <w:rsid w:val="001024E2"/>
    <w:rsid w:val="001056CF"/>
    <w:rsid w:val="0011287E"/>
    <w:rsid w:val="00113FCC"/>
    <w:rsid w:val="00115CA9"/>
    <w:rsid w:val="00116457"/>
    <w:rsid w:val="00117B83"/>
    <w:rsid w:val="00117FDD"/>
    <w:rsid w:val="0012138F"/>
    <w:rsid w:val="00121632"/>
    <w:rsid w:val="001219D5"/>
    <w:rsid w:val="00122C4D"/>
    <w:rsid w:val="001256A0"/>
    <w:rsid w:val="00132520"/>
    <w:rsid w:val="001350E3"/>
    <w:rsid w:val="00135BF4"/>
    <w:rsid w:val="00140DCC"/>
    <w:rsid w:val="00145622"/>
    <w:rsid w:val="0014600F"/>
    <w:rsid w:val="001461BD"/>
    <w:rsid w:val="00146420"/>
    <w:rsid w:val="00146E25"/>
    <w:rsid w:val="00147578"/>
    <w:rsid w:val="0014792E"/>
    <w:rsid w:val="00150DFF"/>
    <w:rsid w:val="00151197"/>
    <w:rsid w:val="001511E4"/>
    <w:rsid w:val="00152153"/>
    <w:rsid w:val="00153262"/>
    <w:rsid w:val="0015355C"/>
    <w:rsid w:val="00154D08"/>
    <w:rsid w:val="00164003"/>
    <w:rsid w:val="00164354"/>
    <w:rsid w:val="00171CDA"/>
    <w:rsid w:val="00172DCE"/>
    <w:rsid w:val="00172E77"/>
    <w:rsid w:val="00173EB9"/>
    <w:rsid w:val="00175A01"/>
    <w:rsid w:val="00180439"/>
    <w:rsid w:val="001838DD"/>
    <w:rsid w:val="001857E6"/>
    <w:rsid w:val="001904E4"/>
    <w:rsid w:val="00191817"/>
    <w:rsid w:val="00192D9C"/>
    <w:rsid w:val="00195282"/>
    <w:rsid w:val="0019712A"/>
    <w:rsid w:val="001A09BD"/>
    <w:rsid w:val="001A2C8E"/>
    <w:rsid w:val="001A362E"/>
    <w:rsid w:val="001A76F8"/>
    <w:rsid w:val="001B3EBD"/>
    <w:rsid w:val="001B5E72"/>
    <w:rsid w:val="001B7A3E"/>
    <w:rsid w:val="001C074F"/>
    <w:rsid w:val="001C0D7D"/>
    <w:rsid w:val="001C1F8B"/>
    <w:rsid w:val="001C2013"/>
    <w:rsid w:val="001C261F"/>
    <w:rsid w:val="001C7557"/>
    <w:rsid w:val="001D1619"/>
    <w:rsid w:val="001D3808"/>
    <w:rsid w:val="001D7DFB"/>
    <w:rsid w:val="001E0DCD"/>
    <w:rsid w:val="001E0EF5"/>
    <w:rsid w:val="001E57A9"/>
    <w:rsid w:val="001E5E2F"/>
    <w:rsid w:val="001F497D"/>
    <w:rsid w:val="001F5904"/>
    <w:rsid w:val="001F6301"/>
    <w:rsid w:val="001F63A6"/>
    <w:rsid w:val="001F653E"/>
    <w:rsid w:val="002056B6"/>
    <w:rsid w:val="00206EF6"/>
    <w:rsid w:val="0021400A"/>
    <w:rsid w:val="00214B90"/>
    <w:rsid w:val="00217016"/>
    <w:rsid w:val="00217444"/>
    <w:rsid w:val="00221796"/>
    <w:rsid w:val="00224C1E"/>
    <w:rsid w:val="00225CD8"/>
    <w:rsid w:val="002263DC"/>
    <w:rsid w:val="00235821"/>
    <w:rsid w:val="00236C95"/>
    <w:rsid w:val="00237006"/>
    <w:rsid w:val="002379B6"/>
    <w:rsid w:val="00240B75"/>
    <w:rsid w:val="00243428"/>
    <w:rsid w:val="00243F90"/>
    <w:rsid w:val="0024691C"/>
    <w:rsid w:val="00246AB1"/>
    <w:rsid w:val="0024714B"/>
    <w:rsid w:val="002505D4"/>
    <w:rsid w:val="00251A3B"/>
    <w:rsid w:val="0025303D"/>
    <w:rsid w:val="00253BD0"/>
    <w:rsid w:val="00253DF7"/>
    <w:rsid w:val="00256513"/>
    <w:rsid w:val="00260AF8"/>
    <w:rsid w:val="00260DDC"/>
    <w:rsid w:val="00261879"/>
    <w:rsid w:val="00261F2F"/>
    <w:rsid w:val="00262D18"/>
    <w:rsid w:val="00263868"/>
    <w:rsid w:val="00263D8B"/>
    <w:rsid w:val="00272AE5"/>
    <w:rsid w:val="00274D88"/>
    <w:rsid w:val="00275911"/>
    <w:rsid w:val="00275A03"/>
    <w:rsid w:val="00276B07"/>
    <w:rsid w:val="00280EBA"/>
    <w:rsid w:val="00284C8E"/>
    <w:rsid w:val="00286D38"/>
    <w:rsid w:val="00290D53"/>
    <w:rsid w:val="00291491"/>
    <w:rsid w:val="00293FE7"/>
    <w:rsid w:val="002956ED"/>
    <w:rsid w:val="00295973"/>
    <w:rsid w:val="00297E65"/>
    <w:rsid w:val="002A19AA"/>
    <w:rsid w:val="002A6408"/>
    <w:rsid w:val="002A64DE"/>
    <w:rsid w:val="002B198F"/>
    <w:rsid w:val="002B1A58"/>
    <w:rsid w:val="002B22EC"/>
    <w:rsid w:val="002B7C80"/>
    <w:rsid w:val="002B7DC0"/>
    <w:rsid w:val="002B7F95"/>
    <w:rsid w:val="002C3D4B"/>
    <w:rsid w:val="002C4067"/>
    <w:rsid w:val="002C420D"/>
    <w:rsid w:val="002C4485"/>
    <w:rsid w:val="002D04E3"/>
    <w:rsid w:val="002D1B18"/>
    <w:rsid w:val="002D2090"/>
    <w:rsid w:val="002D49C3"/>
    <w:rsid w:val="002D4E72"/>
    <w:rsid w:val="002D798A"/>
    <w:rsid w:val="002D7B3D"/>
    <w:rsid w:val="002E3C6C"/>
    <w:rsid w:val="002E5515"/>
    <w:rsid w:val="002E7A4D"/>
    <w:rsid w:val="002F0820"/>
    <w:rsid w:val="002F0A10"/>
    <w:rsid w:val="002F465D"/>
    <w:rsid w:val="002F5614"/>
    <w:rsid w:val="002F6118"/>
    <w:rsid w:val="002F6F4B"/>
    <w:rsid w:val="00300BC8"/>
    <w:rsid w:val="003011A7"/>
    <w:rsid w:val="00302FB0"/>
    <w:rsid w:val="00303F6F"/>
    <w:rsid w:val="0030613F"/>
    <w:rsid w:val="0030671E"/>
    <w:rsid w:val="00311CD1"/>
    <w:rsid w:val="00311E97"/>
    <w:rsid w:val="00312B63"/>
    <w:rsid w:val="00314547"/>
    <w:rsid w:val="00315D7E"/>
    <w:rsid w:val="00317133"/>
    <w:rsid w:val="00322804"/>
    <w:rsid w:val="0032418B"/>
    <w:rsid w:val="0032471B"/>
    <w:rsid w:val="003262EE"/>
    <w:rsid w:val="00327B73"/>
    <w:rsid w:val="003322DF"/>
    <w:rsid w:val="00334E15"/>
    <w:rsid w:val="003350F0"/>
    <w:rsid w:val="00337915"/>
    <w:rsid w:val="00343B1B"/>
    <w:rsid w:val="0034522E"/>
    <w:rsid w:val="00345F60"/>
    <w:rsid w:val="00347D08"/>
    <w:rsid w:val="00351A1C"/>
    <w:rsid w:val="00362B88"/>
    <w:rsid w:val="003641DE"/>
    <w:rsid w:val="0036587F"/>
    <w:rsid w:val="0036611F"/>
    <w:rsid w:val="00366690"/>
    <w:rsid w:val="00366E3D"/>
    <w:rsid w:val="0036750A"/>
    <w:rsid w:val="00370E8A"/>
    <w:rsid w:val="0037265A"/>
    <w:rsid w:val="00372C56"/>
    <w:rsid w:val="0037409B"/>
    <w:rsid w:val="003833DD"/>
    <w:rsid w:val="003853A7"/>
    <w:rsid w:val="00385BD1"/>
    <w:rsid w:val="00385CA9"/>
    <w:rsid w:val="00390DBD"/>
    <w:rsid w:val="0039376C"/>
    <w:rsid w:val="003943EF"/>
    <w:rsid w:val="003964E3"/>
    <w:rsid w:val="003967DB"/>
    <w:rsid w:val="00397B81"/>
    <w:rsid w:val="003A1140"/>
    <w:rsid w:val="003A18E1"/>
    <w:rsid w:val="003A21F3"/>
    <w:rsid w:val="003A51D7"/>
    <w:rsid w:val="003A6ACE"/>
    <w:rsid w:val="003B3F1D"/>
    <w:rsid w:val="003B49DB"/>
    <w:rsid w:val="003C1EB2"/>
    <w:rsid w:val="003C2748"/>
    <w:rsid w:val="003C29D4"/>
    <w:rsid w:val="003C5C52"/>
    <w:rsid w:val="003C6C3F"/>
    <w:rsid w:val="003C7883"/>
    <w:rsid w:val="003D4A37"/>
    <w:rsid w:val="003D79AB"/>
    <w:rsid w:val="003E2361"/>
    <w:rsid w:val="003E5A7B"/>
    <w:rsid w:val="003E66D8"/>
    <w:rsid w:val="003E7223"/>
    <w:rsid w:val="003F1388"/>
    <w:rsid w:val="003F1522"/>
    <w:rsid w:val="003F188F"/>
    <w:rsid w:val="003F29EC"/>
    <w:rsid w:val="003F33A2"/>
    <w:rsid w:val="003F3743"/>
    <w:rsid w:val="003F5874"/>
    <w:rsid w:val="003F6469"/>
    <w:rsid w:val="003F7148"/>
    <w:rsid w:val="00403571"/>
    <w:rsid w:val="004046EF"/>
    <w:rsid w:val="00405458"/>
    <w:rsid w:val="0040782A"/>
    <w:rsid w:val="00411624"/>
    <w:rsid w:val="00412387"/>
    <w:rsid w:val="004135DB"/>
    <w:rsid w:val="00413768"/>
    <w:rsid w:val="004162E6"/>
    <w:rsid w:val="004209C3"/>
    <w:rsid w:val="00421D57"/>
    <w:rsid w:val="00422D42"/>
    <w:rsid w:val="004256A4"/>
    <w:rsid w:val="00427130"/>
    <w:rsid w:val="00430B0B"/>
    <w:rsid w:val="004344F8"/>
    <w:rsid w:val="00437288"/>
    <w:rsid w:val="004402B3"/>
    <w:rsid w:val="00440C6B"/>
    <w:rsid w:val="00441838"/>
    <w:rsid w:val="00444564"/>
    <w:rsid w:val="0044556D"/>
    <w:rsid w:val="00445C8F"/>
    <w:rsid w:val="00447684"/>
    <w:rsid w:val="004503C4"/>
    <w:rsid w:val="00450BB2"/>
    <w:rsid w:val="004513A8"/>
    <w:rsid w:val="00453B9D"/>
    <w:rsid w:val="004573A6"/>
    <w:rsid w:val="00457A32"/>
    <w:rsid w:val="00460C2D"/>
    <w:rsid w:val="00462978"/>
    <w:rsid w:val="004652E9"/>
    <w:rsid w:val="00470591"/>
    <w:rsid w:val="004714B6"/>
    <w:rsid w:val="00475BD0"/>
    <w:rsid w:val="0048018B"/>
    <w:rsid w:val="0048151E"/>
    <w:rsid w:val="00482394"/>
    <w:rsid w:val="00484A34"/>
    <w:rsid w:val="00487244"/>
    <w:rsid w:val="00491863"/>
    <w:rsid w:val="00491FEE"/>
    <w:rsid w:val="0049272F"/>
    <w:rsid w:val="00496455"/>
    <w:rsid w:val="004A0F04"/>
    <w:rsid w:val="004A596E"/>
    <w:rsid w:val="004A6465"/>
    <w:rsid w:val="004A7172"/>
    <w:rsid w:val="004B1522"/>
    <w:rsid w:val="004B1ECD"/>
    <w:rsid w:val="004B1FA9"/>
    <w:rsid w:val="004B22EB"/>
    <w:rsid w:val="004B2545"/>
    <w:rsid w:val="004B3595"/>
    <w:rsid w:val="004B362D"/>
    <w:rsid w:val="004B46BA"/>
    <w:rsid w:val="004B4752"/>
    <w:rsid w:val="004B479A"/>
    <w:rsid w:val="004B4D6D"/>
    <w:rsid w:val="004C5235"/>
    <w:rsid w:val="004C5717"/>
    <w:rsid w:val="004C73EA"/>
    <w:rsid w:val="004D0391"/>
    <w:rsid w:val="004D3EED"/>
    <w:rsid w:val="004D3F41"/>
    <w:rsid w:val="004D53A2"/>
    <w:rsid w:val="004D58CE"/>
    <w:rsid w:val="004D63AB"/>
    <w:rsid w:val="004D6867"/>
    <w:rsid w:val="004E05C7"/>
    <w:rsid w:val="004E0967"/>
    <w:rsid w:val="004E2BA4"/>
    <w:rsid w:val="004E461A"/>
    <w:rsid w:val="004E5621"/>
    <w:rsid w:val="004E6791"/>
    <w:rsid w:val="004E6D24"/>
    <w:rsid w:val="004E76B8"/>
    <w:rsid w:val="004F3FB6"/>
    <w:rsid w:val="004F5444"/>
    <w:rsid w:val="004F5D43"/>
    <w:rsid w:val="00500BAD"/>
    <w:rsid w:val="00502A60"/>
    <w:rsid w:val="0050381B"/>
    <w:rsid w:val="00506573"/>
    <w:rsid w:val="00506CEC"/>
    <w:rsid w:val="00507ED9"/>
    <w:rsid w:val="00510166"/>
    <w:rsid w:val="005107D0"/>
    <w:rsid w:val="00511458"/>
    <w:rsid w:val="00514342"/>
    <w:rsid w:val="0051454F"/>
    <w:rsid w:val="005164F7"/>
    <w:rsid w:val="005176E6"/>
    <w:rsid w:val="00517BC2"/>
    <w:rsid w:val="0052010C"/>
    <w:rsid w:val="005204E2"/>
    <w:rsid w:val="00523FF5"/>
    <w:rsid w:val="00524DDA"/>
    <w:rsid w:val="00525099"/>
    <w:rsid w:val="005271D7"/>
    <w:rsid w:val="005325C5"/>
    <w:rsid w:val="00533227"/>
    <w:rsid w:val="005357F9"/>
    <w:rsid w:val="00537826"/>
    <w:rsid w:val="00537ABF"/>
    <w:rsid w:val="00540A5F"/>
    <w:rsid w:val="00540F3B"/>
    <w:rsid w:val="005411BD"/>
    <w:rsid w:val="00541395"/>
    <w:rsid w:val="005436C4"/>
    <w:rsid w:val="00544427"/>
    <w:rsid w:val="00544A73"/>
    <w:rsid w:val="00544A90"/>
    <w:rsid w:val="00545A20"/>
    <w:rsid w:val="00546795"/>
    <w:rsid w:val="00547261"/>
    <w:rsid w:val="00547F5A"/>
    <w:rsid w:val="0055046E"/>
    <w:rsid w:val="0055052D"/>
    <w:rsid w:val="005521AE"/>
    <w:rsid w:val="00552DE4"/>
    <w:rsid w:val="00554635"/>
    <w:rsid w:val="00555D13"/>
    <w:rsid w:val="005577BF"/>
    <w:rsid w:val="00560040"/>
    <w:rsid w:val="005600CA"/>
    <w:rsid w:val="005616E7"/>
    <w:rsid w:val="00561B12"/>
    <w:rsid w:val="005635DF"/>
    <w:rsid w:val="00564299"/>
    <w:rsid w:val="00564B13"/>
    <w:rsid w:val="0057256B"/>
    <w:rsid w:val="00573F4F"/>
    <w:rsid w:val="00577D2D"/>
    <w:rsid w:val="00582293"/>
    <w:rsid w:val="005831D0"/>
    <w:rsid w:val="005841D2"/>
    <w:rsid w:val="00584AD3"/>
    <w:rsid w:val="005869F9"/>
    <w:rsid w:val="00587A1E"/>
    <w:rsid w:val="00591B3F"/>
    <w:rsid w:val="00592BD3"/>
    <w:rsid w:val="00593EF0"/>
    <w:rsid w:val="0059477E"/>
    <w:rsid w:val="00595317"/>
    <w:rsid w:val="00596C02"/>
    <w:rsid w:val="005A0ECB"/>
    <w:rsid w:val="005A7D53"/>
    <w:rsid w:val="005B00FA"/>
    <w:rsid w:val="005B065D"/>
    <w:rsid w:val="005B10E0"/>
    <w:rsid w:val="005B2268"/>
    <w:rsid w:val="005B319D"/>
    <w:rsid w:val="005B465D"/>
    <w:rsid w:val="005B4D14"/>
    <w:rsid w:val="005C03FB"/>
    <w:rsid w:val="005C4436"/>
    <w:rsid w:val="005C5556"/>
    <w:rsid w:val="005C723E"/>
    <w:rsid w:val="005D1615"/>
    <w:rsid w:val="005D2688"/>
    <w:rsid w:val="005D26C9"/>
    <w:rsid w:val="005D4D49"/>
    <w:rsid w:val="005D506B"/>
    <w:rsid w:val="005D7253"/>
    <w:rsid w:val="005E4474"/>
    <w:rsid w:val="005E6E30"/>
    <w:rsid w:val="005F0493"/>
    <w:rsid w:val="005F5E24"/>
    <w:rsid w:val="00603884"/>
    <w:rsid w:val="00604C51"/>
    <w:rsid w:val="00605292"/>
    <w:rsid w:val="00605350"/>
    <w:rsid w:val="0061127A"/>
    <w:rsid w:val="006116C3"/>
    <w:rsid w:val="00612B77"/>
    <w:rsid w:val="00620A00"/>
    <w:rsid w:val="00622566"/>
    <w:rsid w:val="006236C7"/>
    <w:rsid w:val="0062484E"/>
    <w:rsid w:val="00627F8E"/>
    <w:rsid w:val="006310AA"/>
    <w:rsid w:val="00633083"/>
    <w:rsid w:val="00633B3E"/>
    <w:rsid w:val="00635367"/>
    <w:rsid w:val="00637506"/>
    <w:rsid w:val="0064188F"/>
    <w:rsid w:val="00641C58"/>
    <w:rsid w:val="00642822"/>
    <w:rsid w:val="0064418D"/>
    <w:rsid w:val="00646060"/>
    <w:rsid w:val="00647CB4"/>
    <w:rsid w:val="00652DCA"/>
    <w:rsid w:val="00653E98"/>
    <w:rsid w:val="00657999"/>
    <w:rsid w:val="00657B52"/>
    <w:rsid w:val="006603C7"/>
    <w:rsid w:val="00661245"/>
    <w:rsid w:val="006641EF"/>
    <w:rsid w:val="00664D68"/>
    <w:rsid w:val="00664DBC"/>
    <w:rsid w:val="00665E69"/>
    <w:rsid w:val="006700A1"/>
    <w:rsid w:val="00675C4D"/>
    <w:rsid w:val="00677452"/>
    <w:rsid w:val="00683D5D"/>
    <w:rsid w:val="00684BE4"/>
    <w:rsid w:val="00687CDB"/>
    <w:rsid w:val="00691152"/>
    <w:rsid w:val="00692A86"/>
    <w:rsid w:val="006942FC"/>
    <w:rsid w:val="00694929"/>
    <w:rsid w:val="00696CD3"/>
    <w:rsid w:val="006A253C"/>
    <w:rsid w:val="006A2FF1"/>
    <w:rsid w:val="006A3390"/>
    <w:rsid w:val="006A470D"/>
    <w:rsid w:val="006A664A"/>
    <w:rsid w:val="006A68D2"/>
    <w:rsid w:val="006B0062"/>
    <w:rsid w:val="006B0431"/>
    <w:rsid w:val="006B17D2"/>
    <w:rsid w:val="006C09B2"/>
    <w:rsid w:val="006C20B4"/>
    <w:rsid w:val="006C4C22"/>
    <w:rsid w:val="006C55F9"/>
    <w:rsid w:val="006C7AC1"/>
    <w:rsid w:val="006D04F2"/>
    <w:rsid w:val="006D35C5"/>
    <w:rsid w:val="006D36EB"/>
    <w:rsid w:val="006E00B0"/>
    <w:rsid w:val="006E05F1"/>
    <w:rsid w:val="006E08F7"/>
    <w:rsid w:val="006E2893"/>
    <w:rsid w:val="006E73E2"/>
    <w:rsid w:val="006F001D"/>
    <w:rsid w:val="006F273D"/>
    <w:rsid w:val="006F44E6"/>
    <w:rsid w:val="006F47D2"/>
    <w:rsid w:val="006F5F3C"/>
    <w:rsid w:val="006F6E8A"/>
    <w:rsid w:val="007116AE"/>
    <w:rsid w:val="007134D2"/>
    <w:rsid w:val="00715E80"/>
    <w:rsid w:val="007160FE"/>
    <w:rsid w:val="00726E8D"/>
    <w:rsid w:val="00732AC9"/>
    <w:rsid w:val="00733B0A"/>
    <w:rsid w:val="00740D84"/>
    <w:rsid w:val="00741906"/>
    <w:rsid w:val="007462FE"/>
    <w:rsid w:val="00754EAD"/>
    <w:rsid w:val="00756E3C"/>
    <w:rsid w:val="00760B0B"/>
    <w:rsid w:val="00762B0A"/>
    <w:rsid w:val="007645AD"/>
    <w:rsid w:val="0077179F"/>
    <w:rsid w:val="00772499"/>
    <w:rsid w:val="007727C8"/>
    <w:rsid w:val="00774E92"/>
    <w:rsid w:val="0078217C"/>
    <w:rsid w:val="00786245"/>
    <w:rsid w:val="0078674A"/>
    <w:rsid w:val="007903EF"/>
    <w:rsid w:val="00790A55"/>
    <w:rsid w:val="0079431B"/>
    <w:rsid w:val="007971AF"/>
    <w:rsid w:val="007A0618"/>
    <w:rsid w:val="007A1DE3"/>
    <w:rsid w:val="007A2267"/>
    <w:rsid w:val="007A262B"/>
    <w:rsid w:val="007A2851"/>
    <w:rsid w:val="007A571A"/>
    <w:rsid w:val="007A5EB9"/>
    <w:rsid w:val="007A61E6"/>
    <w:rsid w:val="007A73B0"/>
    <w:rsid w:val="007B02A1"/>
    <w:rsid w:val="007B0C80"/>
    <w:rsid w:val="007B3B26"/>
    <w:rsid w:val="007B4659"/>
    <w:rsid w:val="007B77CA"/>
    <w:rsid w:val="007C0649"/>
    <w:rsid w:val="007C1243"/>
    <w:rsid w:val="007C2600"/>
    <w:rsid w:val="007C2F79"/>
    <w:rsid w:val="007C30D3"/>
    <w:rsid w:val="007C650B"/>
    <w:rsid w:val="007D0BC3"/>
    <w:rsid w:val="007D0FCC"/>
    <w:rsid w:val="007D10E0"/>
    <w:rsid w:val="007D1A4C"/>
    <w:rsid w:val="007D225C"/>
    <w:rsid w:val="007D26B0"/>
    <w:rsid w:val="007D37C8"/>
    <w:rsid w:val="007D3E41"/>
    <w:rsid w:val="007D4E69"/>
    <w:rsid w:val="007D6282"/>
    <w:rsid w:val="007D7089"/>
    <w:rsid w:val="007D7979"/>
    <w:rsid w:val="007E155A"/>
    <w:rsid w:val="007E24FA"/>
    <w:rsid w:val="007E6D58"/>
    <w:rsid w:val="007F04BD"/>
    <w:rsid w:val="007F06C8"/>
    <w:rsid w:val="007F27AE"/>
    <w:rsid w:val="007F3340"/>
    <w:rsid w:val="007F3CDF"/>
    <w:rsid w:val="007F53D2"/>
    <w:rsid w:val="007F68B7"/>
    <w:rsid w:val="00800555"/>
    <w:rsid w:val="00801E7E"/>
    <w:rsid w:val="00802149"/>
    <w:rsid w:val="008028F7"/>
    <w:rsid w:val="0080346A"/>
    <w:rsid w:val="00805328"/>
    <w:rsid w:val="00805B8E"/>
    <w:rsid w:val="00810AC8"/>
    <w:rsid w:val="00813C24"/>
    <w:rsid w:val="00814964"/>
    <w:rsid w:val="008168B3"/>
    <w:rsid w:val="00817222"/>
    <w:rsid w:val="00821EA8"/>
    <w:rsid w:val="00822E01"/>
    <w:rsid w:val="00824B29"/>
    <w:rsid w:val="00824D44"/>
    <w:rsid w:val="00827840"/>
    <w:rsid w:val="00834E07"/>
    <w:rsid w:val="00835F73"/>
    <w:rsid w:val="00837BAA"/>
    <w:rsid w:val="0084131D"/>
    <w:rsid w:val="00841A9E"/>
    <w:rsid w:val="008423A4"/>
    <w:rsid w:val="00843A2B"/>
    <w:rsid w:val="008456E1"/>
    <w:rsid w:val="008463C5"/>
    <w:rsid w:val="00846B8A"/>
    <w:rsid w:val="008500F2"/>
    <w:rsid w:val="00853306"/>
    <w:rsid w:val="008547B7"/>
    <w:rsid w:val="008551B8"/>
    <w:rsid w:val="008555B4"/>
    <w:rsid w:val="0085738E"/>
    <w:rsid w:val="008578A5"/>
    <w:rsid w:val="00861DFC"/>
    <w:rsid w:val="00864DEE"/>
    <w:rsid w:val="008657B6"/>
    <w:rsid w:val="0086740B"/>
    <w:rsid w:val="00870F11"/>
    <w:rsid w:val="00870F42"/>
    <w:rsid w:val="0087154B"/>
    <w:rsid w:val="0087239F"/>
    <w:rsid w:val="00873EE1"/>
    <w:rsid w:val="00874108"/>
    <w:rsid w:val="00874BCF"/>
    <w:rsid w:val="0088290F"/>
    <w:rsid w:val="008839FC"/>
    <w:rsid w:val="00883C98"/>
    <w:rsid w:val="008905B1"/>
    <w:rsid w:val="008936E7"/>
    <w:rsid w:val="0089541C"/>
    <w:rsid w:val="008A02BE"/>
    <w:rsid w:val="008A3B8C"/>
    <w:rsid w:val="008A7169"/>
    <w:rsid w:val="008A7AE2"/>
    <w:rsid w:val="008B1C91"/>
    <w:rsid w:val="008B1D35"/>
    <w:rsid w:val="008B1DB7"/>
    <w:rsid w:val="008B42DF"/>
    <w:rsid w:val="008B6AE6"/>
    <w:rsid w:val="008C0BE9"/>
    <w:rsid w:val="008C1DDF"/>
    <w:rsid w:val="008C395A"/>
    <w:rsid w:val="008C6662"/>
    <w:rsid w:val="008C78C9"/>
    <w:rsid w:val="008D2860"/>
    <w:rsid w:val="008E32FC"/>
    <w:rsid w:val="008E4A49"/>
    <w:rsid w:val="008E6F6F"/>
    <w:rsid w:val="008F084B"/>
    <w:rsid w:val="008F3274"/>
    <w:rsid w:val="008F38C4"/>
    <w:rsid w:val="008F6251"/>
    <w:rsid w:val="00904C78"/>
    <w:rsid w:val="00905B86"/>
    <w:rsid w:val="00906D55"/>
    <w:rsid w:val="009078B7"/>
    <w:rsid w:val="0091250A"/>
    <w:rsid w:val="00913FA5"/>
    <w:rsid w:val="009144FE"/>
    <w:rsid w:val="00916375"/>
    <w:rsid w:val="009167C4"/>
    <w:rsid w:val="00916ABE"/>
    <w:rsid w:val="009208ED"/>
    <w:rsid w:val="0092146E"/>
    <w:rsid w:val="009239F2"/>
    <w:rsid w:val="00932004"/>
    <w:rsid w:val="0093772C"/>
    <w:rsid w:val="00941399"/>
    <w:rsid w:val="0094462F"/>
    <w:rsid w:val="009476FF"/>
    <w:rsid w:val="00951486"/>
    <w:rsid w:val="009572D5"/>
    <w:rsid w:val="00957662"/>
    <w:rsid w:val="00960E58"/>
    <w:rsid w:val="009610E7"/>
    <w:rsid w:val="009708C4"/>
    <w:rsid w:val="00970AA3"/>
    <w:rsid w:val="00972715"/>
    <w:rsid w:val="00974740"/>
    <w:rsid w:val="009774C1"/>
    <w:rsid w:val="009815AC"/>
    <w:rsid w:val="009822F7"/>
    <w:rsid w:val="00986999"/>
    <w:rsid w:val="00986E0E"/>
    <w:rsid w:val="00990116"/>
    <w:rsid w:val="009909A7"/>
    <w:rsid w:val="00992021"/>
    <w:rsid w:val="009958A2"/>
    <w:rsid w:val="0099609E"/>
    <w:rsid w:val="00996851"/>
    <w:rsid w:val="009A07C4"/>
    <w:rsid w:val="009A19D0"/>
    <w:rsid w:val="009A1D20"/>
    <w:rsid w:val="009A28BE"/>
    <w:rsid w:val="009A74B6"/>
    <w:rsid w:val="009B1C79"/>
    <w:rsid w:val="009B23F8"/>
    <w:rsid w:val="009B4CE6"/>
    <w:rsid w:val="009B4FE9"/>
    <w:rsid w:val="009B5528"/>
    <w:rsid w:val="009B593F"/>
    <w:rsid w:val="009B77A8"/>
    <w:rsid w:val="009B7F1F"/>
    <w:rsid w:val="009C50C8"/>
    <w:rsid w:val="009C7F0E"/>
    <w:rsid w:val="009D0D99"/>
    <w:rsid w:val="009D1BB6"/>
    <w:rsid w:val="009D236E"/>
    <w:rsid w:val="009D6CAF"/>
    <w:rsid w:val="009D6E5D"/>
    <w:rsid w:val="009D7134"/>
    <w:rsid w:val="009E2155"/>
    <w:rsid w:val="009E272E"/>
    <w:rsid w:val="009E2860"/>
    <w:rsid w:val="009E52E1"/>
    <w:rsid w:val="009E573D"/>
    <w:rsid w:val="009E7C76"/>
    <w:rsid w:val="009F049C"/>
    <w:rsid w:val="009F151D"/>
    <w:rsid w:val="009F2F76"/>
    <w:rsid w:val="009F4116"/>
    <w:rsid w:val="009F5389"/>
    <w:rsid w:val="009F5472"/>
    <w:rsid w:val="00A00606"/>
    <w:rsid w:val="00A0499F"/>
    <w:rsid w:val="00A04B21"/>
    <w:rsid w:val="00A10510"/>
    <w:rsid w:val="00A11BC7"/>
    <w:rsid w:val="00A12F6A"/>
    <w:rsid w:val="00A1490A"/>
    <w:rsid w:val="00A17A48"/>
    <w:rsid w:val="00A20058"/>
    <w:rsid w:val="00A22290"/>
    <w:rsid w:val="00A24BBC"/>
    <w:rsid w:val="00A30281"/>
    <w:rsid w:val="00A32E26"/>
    <w:rsid w:val="00A368C4"/>
    <w:rsid w:val="00A4158C"/>
    <w:rsid w:val="00A44226"/>
    <w:rsid w:val="00A45DAA"/>
    <w:rsid w:val="00A4622E"/>
    <w:rsid w:val="00A510D0"/>
    <w:rsid w:val="00A54939"/>
    <w:rsid w:val="00A55BAB"/>
    <w:rsid w:val="00A55C8E"/>
    <w:rsid w:val="00A5676F"/>
    <w:rsid w:val="00A5703F"/>
    <w:rsid w:val="00A60B13"/>
    <w:rsid w:val="00A60BEA"/>
    <w:rsid w:val="00A633E3"/>
    <w:rsid w:val="00A63554"/>
    <w:rsid w:val="00A63E82"/>
    <w:rsid w:val="00A6604C"/>
    <w:rsid w:val="00A666C0"/>
    <w:rsid w:val="00A718F0"/>
    <w:rsid w:val="00A71C12"/>
    <w:rsid w:val="00A81182"/>
    <w:rsid w:val="00A8238E"/>
    <w:rsid w:val="00A83CB8"/>
    <w:rsid w:val="00A84923"/>
    <w:rsid w:val="00A85401"/>
    <w:rsid w:val="00A86104"/>
    <w:rsid w:val="00A86D68"/>
    <w:rsid w:val="00A927C9"/>
    <w:rsid w:val="00A94A3C"/>
    <w:rsid w:val="00A94FB2"/>
    <w:rsid w:val="00AA4F6C"/>
    <w:rsid w:val="00AA5B48"/>
    <w:rsid w:val="00AA792C"/>
    <w:rsid w:val="00AB1BE5"/>
    <w:rsid w:val="00AB2D58"/>
    <w:rsid w:val="00AB38C7"/>
    <w:rsid w:val="00AB49FF"/>
    <w:rsid w:val="00AB6B73"/>
    <w:rsid w:val="00AC7837"/>
    <w:rsid w:val="00AD0B9E"/>
    <w:rsid w:val="00AD3BE2"/>
    <w:rsid w:val="00AD58A0"/>
    <w:rsid w:val="00AD59A0"/>
    <w:rsid w:val="00AD76C7"/>
    <w:rsid w:val="00AE1E44"/>
    <w:rsid w:val="00AE4787"/>
    <w:rsid w:val="00AE5552"/>
    <w:rsid w:val="00AE7D5D"/>
    <w:rsid w:val="00AF45EE"/>
    <w:rsid w:val="00AF4B3A"/>
    <w:rsid w:val="00AF5AD0"/>
    <w:rsid w:val="00B009F6"/>
    <w:rsid w:val="00B0378E"/>
    <w:rsid w:val="00B06184"/>
    <w:rsid w:val="00B06449"/>
    <w:rsid w:val="00B07F1C"/>
    <w:rsid w:val="00B10E37"/>
    <w:rsid w:val="00B130F9"/>
    <w:rsid w:val="00B147DC"/>
    <w:rsid w:val="00B205D4"/>
    <w:rsid w:val="00B26CEE"/>
    <w:rsid w:val="00B30972"/>
    <w:rsid w:val="00B361F2"/>
    <w:rsid w:val="00B3784E"/>
    <w:rsid w:val="00B37920"/>
    <w:rsid w:val="00B41F6F"/>
    <w:rsid w:val="00B4213D"/>
    <w:rsid w:val="00B4520B"/>
    <w:rsid w:val="00B45DFA"/>
    <w:rsid w:val="00B47AA9"/>
    <w:rsid w:val="00B51B07"/>
    <w:rsid w:val="00B558F0"/>
    <w:rsid w:val="00B6092C"/>
    <w:rsid w:val="00B6102E"/>
    <w:rsid w:val="00B61A51"/>
    <w:rsid w:val="00B620B6"/>
    <w:rsid w:val="00B62A2A"/>
    <w:rsid w:val="00B6525A"/>
    <w:rsid w:val="00B65558"/>
    <w:rsid w:val="00B65D67"/>
    <w:rsid w:val="00B66638"/>
    <w:rsid w:val="00B67D2F"/>
    <w:rsid w:val="00B71FBD"/>
    <w:rsid w:val="00B75761"/>
    <w:rsid w:val="00B75FCA"/>
    <w:rsid w:val="00B76469"/>
    <w:rsid w:val="00B811D2"/>
    <w:rsid w:val="00B8524B"/>
    <w:rsid w:val="00B85A2D"/>
    <w:rsid w:val="00B8658A"/>
    <w:rsid w:val="00B90DF7"/>
    <w:rsid w:val="00B911FD"/>
    <w:rsid w:val="00B932BD"/>
    <w:rsid w:val="00B9344A"/>
    <w:rsid w:val="00B93A7A"/>
    <w:rsid w:val="00B967D1"/>
    <w:rsid w:val="00B96890"/>
    <w:rsid w:val="00B96FAC"/>
    <w:rsid w:val="00BA1DD7"/>
    <w:rsid w:val="00BA1E12"/>
    <w:rsid w:val="00BA1F1E"/>
    <w:rsid w:val="00BA2549"/>
    <w:rsid w:val="00BA3F18"/>
    <w:rsid w:val="00BA645A"/>
    <w:rsid w:val="00BA6ED0"/>
    <w:rsid w:val="00BB1864"/>
    <w:rsid w:val="00BB2395"/>
    <w:rsid w:val="00BB39FD"/>
    <w:rsid w:val="00BB476A"/>
    <w:rsid w:val="00BB52DB"/>
    <w:rsid w:val="00BB6571"/>
    <w:rsid w:val="00BB72C7"/>
    <w:rsid w:val="00BB760A"/>
    <w:rsid w:val="00BB76C3"/>
    <w:rsid w:val="00BC2223"/>
    <w:rsid w:val="00BC33A8"/>
    <w:rsid w:val="00BC3688"/>
    <w:rsid w:val="00BC500D"/>
    <w:rsid w:val="00BC5A6B"/>
    <w:rsid w:val="00BC7775"/>
    <w:rsid w:val="00BD0EB2"/>
    <w:rsid w:val="00BD0F96"/>
    <w:rsid w:val="00BD4634"/>
    <w:rsid w:val="00BD4D94"/>
    <w:rsid w:val="00BD5DF9"/>
    <w:rsid w:val="00BD699D"/>
    <w:rsid w:val="00BD7006"/>
    <w:rsid w:val="00BE1A0E"/>
    <w:rsid w:val="00BE2063"/>
    <w:rsid w:val="00BE246C"/>
    <w:rsid w:val="00BE36C5"/>
    <w:rsid w:val="00BE444F"/>
    <w:rsid w:val="00BE4794"/>
    <w:rsid w:val="00BE5015"/>
    <w:rsid w:val="00BE5AF2"/>
    <w:rsid w:val="00BF149F"/>
    <w:rsid w:val="00BF43BA"/>
    <w:rsid w:val="00BF5479"/>
    <w:rsid w:val="00C007A1"/>
    <w:rsid w:val="00C01122"/>
    <w:rsid w:val="00C01786"/>
    <w:rsid w:val="00C02ED9"/>
    <w:rsid w:val="00C033A6"/>
    <w:rsid w:val="00C043DB"/>
    <w:rsid w:val="00C1397E"/>
    <w:rsid w:val="00C14B01"/>
    <w:rsid w:val="00C16308"/>
    <w:rsid w:val="00C2070A"/>
    <w:rsid w:val="00C24BB1"/>
    <w:rsid w:val="00C351EB"/>
    <w:rsid w:val="00C35507"/>
    <w:rsid w:val="00C3582B"/>
    <w:rsid w:val="00C36643"/>
    <w:rsid w:val="00C372F6"/>
    <w:rsid w:val="00C423B5"/>
    <w:rsid w:val="00C46459"/>
    <w:rsid w:val="00C56DB5"/>
    <w:rsid w:val="00C57462"/>
    <w:rsid w:val="00C60B1D"/>
    <w:rsid w:val="00C616E9"/>
    <w:rsid w:val="00C6238F"/>
    <w:rsid w:val="00C63F00"/>
    <w:rsid w:val="00C64335"/>
    <w:rsid w:val="00C70C28"/>
    <w:rsid w:val="00C71EC3"/>
    <w:rsid w:val="00C765E9"/>
    <w:rsid w:val="00C85AF2"/>
    <w:rsid w:val="00C8680D"/>
    <w:rsid w:val="00C87CEE"/>
    <w:rsid w:val="00C9528C"/>
    <w:rsid w:val="00C95E21"/>
    <w:rsid w:val="00C97089"/>
    <w:rsid w:val="00CA02EC"/>
    <w:rsid w:val="00CA0A84"/>
    <w:rsid w:val="00CA3347"/>
    <w:rsid w:val="00CA38D2"/>
    <w:rsid w:val="00CA7A3B"/>
    <w:rsid w:val="00CB04F3"/>
    <w:rsid w:val="00CB573C"/>
    <w:rsid w:val="00CC23AA"/>
    <w:rsid w:val="00CC30B1"/>
    <w:rsid w:val="00CC6A83"/>
    <w:rsid w:val="00CD0318"/>
    <w:rsid w:val="00CD0F60"/>
    <w:rsid w:val="00CE1A9B"/>
    <w:rsid w:val="00CE2911"/>
    <w:rsid w:val="00CE2F21"/>
    <w:rsid w:val="00CE6703"/>
    <w:rsid w:val="00CE6E9F"/>
    <w:rsid w:val="00CF01DB"/>
    <w:rsid w:val="00CF3DCF"/>
    <w:rsid w:val="00CF45AD"/>
    <w:rsid w:val="00CF5DBE"/>
    <w:rsid w:val="00CF7A92"/>
    <w:rsid w:val="00D03D87"/>
    <w:rsid w:val="00D04A87"/>
    <w:rsid w:val="00D05E1F"/>
    <w:rsid w:val="00D069F0"/>
    <w:rsid w:val="00D075AA"/>
    <w:rsid w:val="00D14081"/>
    <w:rsid w:val="00D1738B"/>
    <w:rsid w:val="00D22329"/>
    <w:rsid w:val="00D300B1"/>
    <w:rsid w:val="00D31E29"/>
    <w:rsid w:val="00D321B6"/>
    <w:rsid w:val="00D3382E"/>
    <w:rsid w:val="00D34AC5"/>
    <w:rsid w:val="00D51854"/>
    <w:rsid w:val="00D566F0"/>
    <w:rsid w:val="00D56A26"/>
    <w:rsid w:val="00D60B3F"/>
    <w:rsid w:val="00D62B63"/>
    <w:rsid w:val="00D64E3F"/>
    <w:rsid w:val="00D65747"/>
    <w:rsid w:val="00D658AB"/>
    <w:rsid w:val="00D65AB0"/>
    <w:rsid w:val="00D66326"/>
    <w:rsid w:val="00D7463F"/>
    <w:rsid w:val="00D75CAE"/>
    <w:rsid w:val="00D7720A"/>
    <w:rsid w:val="00D77624"/>
    <w:rsid w:val="00D808C7"/>
    <w:rsid w:val="00D818FA"/>
    <w:rsid w:val="00D81F06"/>
    <w:rsid w:val="00D82D90"/>
    <w:rsid w:val="00D844CE"/>
    <w:rsid w:val="00D93835"/>
    <w:rsid w:val="00D943C7"/>
    <w:rsid w:val="00D9458C"/>
    <w:rsid w:val="00D95731"/>
    <w:rsid w:val="00DA05BE"/>
    <w:rsid w:val="00DA29A4"/>
    <w:rsid w:val="00DA4BCC"/>
    <w:rsid w:val="00DA5756"/>
    <w:rsid w:val="00DA70C3"/>
    <w:rsid w:val="00DA78F1"/>
    <w:rsid w:val="00DB1CE0"/>
    <w:rsid w:val="00DB1FCB"/>
    <w:rsid w:val="00DB26E1"/>
    <w:rsid w:val="00DB38F0"/>
    <w:rsid w:val="00DB5A42"/>
    <w:rsid w:val="00DB684A"/>
    <w:rsid w:val="00DB6B7C"/>
    <w:rsid w:val="00DC160F"/>
    <w:rsid w:val="00DC5E18"/>
    <w:rsid w:val="00DC6650"/>
    <w:rsid w:val="00DC76AB"/>
    <w:rsid w:val="00DE1EAC"/>
    <w:rsid w:val="00DE37D0"/>
    <w:rsid w:val="00DF00C9"/>
    <w:rsid w:val="00DF1EBD"/>
    <w:rsid w:val="00DF3271"/>
    <w:rsid w:val="00DF493F"/>
    <w:rsid w:val="00DF5722"/>
    <w:rsid w:val="00DF578F"/>
    <w:rsid w:val="00DF65C7"/>
    <w:rsid w:val="00DF7248"/>
    <w:rsid w:val="00E0038F"/>
    <w:rsid w:val="00E0062D"/>
    <w:rsid w:val="00E00BA5"/>
    <w:rsid w:val="00E0171D"/>
    <w:rsid w:val="00E017EC"/>
    <w:rsid w:val="00E047BE"/>
    <w:rsid w:val="00E04A9C"/>
    <w:rsid w:val="00E06396"/>
    <w:rsid w:val="00E1022A"/>
    <w:rsid w:val="00E10CF1"/>
    <w:rsid w:val="00E12B1D"/>
    <w:rsid w:val="00E2088A"/>
    <w:rsid w:val="00E2218E"/>
    <w:rsid w:val="00E2316B"/>
    <w:rsid w:val="00E246E8"/>
    <w:rsid w:val="00E277EF"/>
    <w:rsid w:val="00E338A2"/>
    <w:rsid w:val="00E33D9D"/>
    <w:rsid w:val="00E34ACC"/>
    <w:rsid w:val="00E3709F"/>
    <w:rsid w:val="00E40A1F"/>
    <w:rsid w:val="00E41DBD"/>
    <w:rsid w:val="00E457D3"/>
    <w:rsid w:val="00E46CFA"/>
    <w:rsid w:val="00E473F4"/>
    <w:rsid w:val="00E51076"/>
    <w:rsid w:val="00E51A31"/>
    <w:rsid w:val="00E5331B"/>
    <w:rsid w:val="00E5419A"/>
    <w:rsid w:val="00E56D22"/>
    <w:rsid w:val="00E57911"/>
    <w:rsid w:val="00E61D84"/>
    <w:rsid w:val="00E624AF"/>
    <w:rsid w:val="00E62F46"/>
    <w:rsid w:val="00E65655"/>
    <w:rsid w:val="00E65D3F"/>
    <w:rsid w:val="00E668FB"/>
    <w:rsid w:val="00E66D17"/>
    <w:rsid w:val="00E67274"/>
    <w:rsid w:val="00E67635"/>
    <w:rsid w:val="00E7215F"/>
    <w:rsid w:val="00E7385D"/>
    <w:rsid w:val="00E75FCB"/>
    <w:rsid w:val="00E77524"/>
    <w:rsid w:val="00E842E2"/>
    <w:rsid w:val="00E85F26"/>
    <w:rsid w:val="00E90239"/>
    <w:rsid w:val="00E97410"/>
    <w:rsid w:val="00E97DC2"/>
    <w:rsid w:val="00EA16B0"/>
    <w:rsid w:val="00EA2338"/>
    <w:rsid w:val="00EA322A"/>
    <w:rsid w:val="00EA3D26"/>
    <w:rsid w:val="00EA6C09"/>
    <w:rsid w:val="00EA7ABE"/>
    <w:rsid w:val="00EB0671"/>
    <w:rsid w:val="00EB1CF1"/>
    <w:rsid w:val="00EB2112"/>
    <w:rsid w:val="00EB3B49"/>
    <w:rsid w:val="00EB3C01"/>
    <w:rsid w:val="00EB3D84"/>
    <w:rsid w:val="00EB49EE"/>
    <w:rsid w:val="00EB559A"/>
    <w:rsid w:val="00EC44B7"/>
    <w:rsid w:val="00ED1ADE"/>
    <w:rsid w:val="00ED3425"/>
    <w:rsid w:val="00ED3774"/>
    <w:rsid w:val="00EE0F37"/>
    <w:rsid w:val="00EE1073"/>
    <w:rsid w:val="00EE14E3"/>
    <w:rsid w:val="00EE23CF"/>
    <w:rsid w:val="00EE2DEC"/>
    <w:rsid w:val="00EE5586"/>
    <w:rsid w:val="00EE5B6B"/>
    <w:rsid w:val="00EE5C2A"/>
    <w:rsid w:val="00EE6016"/>
    <w:rsid w:val="00EF2591"/>
    <w:rsid w:val="00EF3AA2"/>
    <w:rsid w:val="00F01383"/>
    <w:rsid w:val="00F02096"/>
    <w:rsid w:val="00F0210F"/>
    <w:rsid w:val="00F02768"/>
    <w:rsid w:val="00F0284E"/>
    <w:rsid w:val="00F0623B"/>
    <w:rsid w:val="00F06467"/>
    <w:rsid w:val="00F07188"/>
    <w:rsid w:val="00F13FF2"/>
    <w:rsid w:val="00F16883"/>
    <w:rsid w:val="00F17148"/>
    <w:rsid w:val="00F17C93"/>
    <w:rsid w:val="00F2412E"/>
    <w:rsid w:val="00F27267"/>
    <w:rsid w:val="00F32234"/>
    <w:rsid w:val="00F363DF"/>
    <w:rsid w:val="00F421EB"/>
    <w:rsid w:val="00F45757"/>
    <w:rsid w:val="00F47B99"/>
    <w:rsid w:val="00F501D7"/>
    <w:rsid w:val="00F5194E"/>
    <w:rsid w:val="00F51A21"/>
    <w:rsid w:val="00F51F07"/>
    <w:rsid w:val="00F54934"/>
    <w:rsid w:val="00F54CD4"/>
    <w:rsid w:val="00F56DFB"/>
    <w:rsid w:val="00F57346"/>
    <w:rsid w:val="00F61F8E"/>
    <w:rsid w:val="00F64F06"/>
    <w:rsid w:val="00F71349"/>
    <w:rsid w:val="00F753B7"/>
    <w:rsid w:val="00F76263"/>
    <w:rsid w:val="00F83848"/>
    <w:rsid w:val="00F84227"/>
    <w:rsid w:val="00F861AF"/>
    <w:rsid w:val="00F861EA"/>
    <w:rsid w:val="00F862FE"/>
    <w:rsid w:val="00F86EFD"/>
    <w:rsid w:val="00F90553"/>
    <w:rsid w:val="00F94EFB"/>
    <w:rsid w:val="00F96009"/>
    <w:rsid w:val="00F97983"/>
    <w:rsid w:val="00F97A0F"/>
    <w:rsid w:val="00FA1848"/>
    <w:rsid w:val="00FA3FB7"/>
    <w:rsid w:val="00FA790F"/>
    <w:rsid w:val="00FB1850"/>
    <w:rsid w:val="00FB2D49"/>
    <w:rsid w:val="00FB30E9"/>
    <w:rsid w:val="00FC03F1"/>
    <w:rsid w:val="00FC1539"/>
    <w:rsid w:val="00FC3960"/>
    <w:rsid w:val="00FC5177"/>
    <w:rsid w:val="00FC518C"/>
    <w:rsid w:val="00FC7425"/>
    <w:rsid w:val="00FD392D"/>
    <w:rsid w:val="00FD421F"/>
    <w:rsid w:val="00FD59E0"/>
    <w:rsid w:val="00FE0A48"/>
    <w:rsid w:val="00FE1C42"/>
    <w:rsid w:val="00FE2ABA"/>
    <w:rsid w:val="00FE4FA0"/>
    <w:rsid w:val="00FE583D"/>
    <w:rsid w:val="00FF0570"/>
    <w:rsid w:val="00FF3903"/>
    <w:rsid w:val="00FF6D59"/>
    <w:rsid w:val="00FF75B1"/>
    <w:rsid w:val="00FF76E1"/>
    <w:rsid w:val="00FF775B"/>
    <w:rsid w:val="00FF7BF9"/>
    <w:rsid w:val="01293041"/>
    <w:rsid w:val="02C537CD"/>
    <w:rsid w:val="03834517"/>
    <w:rsid w:val="04674CA7"/>
    <w:rsid w:val="046D756C"/>
    <w:rsid w:val="04A86DFE"/>
    <w:rsid w:val="050A4FCD"/>
    <w:rsid w:val="059A6FC8"/>
    <w:rsid w:val="06436D83"/>
    <w:rsid w:val="0854255A"/>
    <w:rsid w:val="08F77255"/>
    <w:rsid w:val="092A21D3"/>
    <w:rsid w:val="094D6505"/>
    <w:rsid w:val="0A110E8F"/>
    <w:rsid w:val="0A6B4BAC"/>
    <w:rsid w:val="0B461F6C"/>
    <w:rsid w:val="0BA85099"/>
    <w:rsid w:val="0CF13791"/>
    <w:rsid w:val="0D451B5D"/>
    <w:rsid w:val="0E322F07"/>
    <w:rsid w:val="0EFB02D7"/>
    <w:rsid w:val="10241563"/>
    <w:rsid w:val="10CC02D1"/>
    <w:rsid w:val="10EF5C50"/>
    <w:rsid w:val="112600DB"/>
    <w:rsid w:val="115D087C"/>
    <w:rsid w:val="130B1136"/>
    <w:rsid w:val="13860617"/>
    <w:rsid w:val="14CA2D33"/>
    <w:rsid w:val="14D86DE5"/>
    <w:rsid w:val="159D6137"/>
    <w:rsid w:val="15CC5087"/>
    <w:rsid w:val="16BE0227"/>
    <w:rsid w:val="173C4AFA"/>
    <w:rsid w:val="17506584"/>
    <w:rsid w:val="17C368FE"/>
    <w:rsid w:val="182F08E4"/>
    <w:rsid w:val="18DB7A46"/>
    <w:rsid w:val="18F946E9"/>
    <w:rsid w:val="1925647A"/>
    <w:rsid w:val="19F57113"/>
    <w:rsid w:val="1AAA3C36"/>
    <w:rsid w:val="1AC20B41"/>
    <w:rsid w:val="1B573081"/>
    <w:rsid w:val="1D834159"/>
    <w:rsid w:val="1E704F1F"/>
    <w:rsid w:val="1EF55B0A"/>
    <w:rsid w:val="1F2E72FA"/>
    <w:rsid w:val="1FA80785"/>
    <w:rsid w:val="20460A5E"/>
    <w:rsid w:val="208A69CE"/>
    <w:rsid w:val="21A949A7"/>
    <w:rsid w:val="21D744ED"/>
    <w:rsid w:val="224F5D53"/>
    <w:rsid w:val="23104D9A"/>
    <w:rsid w:val="234A31E9"/>
    <w:rsid w:val="234F2D23"/>
    <w:rsid w:val="249E2C32"/>
    <w:rsid w:val="258C352B"/>
    <w:rsid w:val="26B926E3"/>
    <w:rsid w:val="271E750E"/>
    <w:rsid w:val="27551805"/>
    <w:rsid w:val="282C1D1C"/>
    <w:rsid w:val="28A546E8"/>
    <w:rsid w:val="291A6E15"/>
    <w:rsid w:val="29CB4371"/>
    <w:rsid w:val="29E23A96"/>
    <w:rsid w:val="2A3234F7"/>
    <w:rsid w:val="2AD91F60"/>
    <w:rsid w:val="2AE161FE"/>
    <w:rsid w:val="2D6412B4"/>
    <w:rsid w:val="2EE91012"/>
    <w:rsid w:val="2F3F27DA"/>
    <w:rsid w:val="2FEA78EB"/>
    <w:rsid w:val="3016571B"/>
    <w:rsid w:val="31C03CC9"/>
    <w:rsid w:val="323E559E"/>
    <w:rsid w:val="339662E3"/>
    <w:rsid w:val="33C7229B"/>
    <w:rsid w:val="341D665A"/>
    <w:rsid w:val="349F205E"/>
    <w:rsid w:val="34ED2A69"/>
    <w:rsid w:val="352111F7"/>
    <w:rsid w:val="36364B70"/>
    <w:rsid w:val="393C5D8A"/>
    <w:rsid w:val="3A2E2D33"/>
    <w:rsid w:val="3AA77559"/>
    <w:rsid w:val="3B42093D"/>
    <w:rsid w:val="3CD33311"/>
    <w:rsid w:val="3D0445C1"/>
    <w:rsid w:val="3DF40A19"/>
    <w:rsid w:val="3EA76C9A"/>
    <w:rsid w:val="3EBF3BC4"/>
    <w:rsid w:val="3F207A77"/>
    <w:rsid w:val="40BB29F6"/>
    <w:rsid w:val="42093AE8"/>
    <w:rsid w:val="42434CBB"/>
    <w:rsid w:val="42CD327E"/>
    <w:rsid w:val="43652112"/>
    <w:rsid w:val="43900A88"/>
    <w:rsid w:val="4453683E"/>
    <w:rsid w:val="44D27698"/>
    <w:rsid w:val="45955ABB"/>
    <w:rsid w:val="468C5350"/>
    <w:rsid w:val="47656692"/>
    <w:rsid w:val="47DA694F"/>
    <w:rsid w:val="4A1649CB"/>
    <w:rsid w:val="4A5A75FC"/>
    <w:rsid w:val="4BB62D26"/>
    <w:rsid w:val="4D781234"/>
    <w:rsid w:val="4D9B791B"/>
    <w:rsid w:val="4DEB0308"/>
    <w:rsid w:val="4EE50A02"/>
    <w:rsid w:val="4EF76D30"/>
    <w:rsid w:val="4EF81881"/>
    <w:rsid w:val="50854438"/>
    <w:rsid w:val="51217249"/>
    <w:rsid w:val="51EB5CB4"/>
    <w:rsid w:val="52B509D4"/>
    <w:rsid w:val="52C23F62"/>
    <w:rsid w:val="548C3335"/>
    <w:rsid w:val="54A55524"/>
    <w:rsid w:val="550E7974"/>
    <w:rsid w:val="56985377"/>
    <w:rsid w:val="572E44A9"/>
    <w:rsid w:val="57756DCB"/>
    <w:rsid w:val="5924707D"/>
    <w:rsid w:val="59740003"/>
    <w:rsid w:val="5ADF2695"/>
    <w:rsid w:val="5B426FC4"/>
    <w:rsid w:val="5B941980"/>
    <w:rsid w:val="5C4254CD"/>
    <w:rsid w:val="5CC17C87"/>
    <w:rsid w:val="5CCE6A8D"/>
    <w:rsid w:val="5D900A6D"/>
    <w:rsid w:val="5DC6523F"/>
    <w:rsid w:val="5E33421C"/>
    <w:rsid w:val="5F3B6520"/>
    <w:rsid w:val="5F700BFA"/>
    <w:rsid w:val="5FB2742A"/>
    <w:rsid w:val="5FF96B31"/>
    <w:rsid w:val="604B3AEE"/>
    <w:rsid w:val="61142366"/>
    <w:rsid w:val="61815A69"/>
    <w:rsid w:val="62077CBF"/>
    <w:rsid w:val="629F644D"/>
    <w:rsid w:val="62D26B91"/>
    <w:rsid w:val="63892BC3"/>
    <w:rsid w:val="63B36E9D"/>
    <w:rsid w:val="64D2073A"/>
    <w:rsid w:val="65452F4C"/>
    <w:rsid w:val="663E3E43"/>
    <w:rsid w:val="671A09FC"/>
    <w:rsid w:val="674C2A42"/>
    <w:rsid w:val="68023684"/>
    <w:rsid w:val="699A235C"/>
    <w:rsid w:val="6B9B2108"/>
    <w:rsid w:val="6C1D4021"/>
    <w:rsid w:val="6D8C15BD"/>
    <w:rsid w:val="6E993692"/>
    <w:rsid w:val="6F053087"/>
    <w:rsid w:val="6F7F45CB"/>
    <w:rsid w:val="70D71086"/>
    <w:rsid w:val="70E75BFF"/>
    <w:rsid w:val="719A41BD"/>
    <w:rsid w:val="72740CB2"/>
    <w:rsid w:val="735100C4"/>
    <w:rsid w:val="73753ECB"/>
    <w:rsid w:val="73F2177A"/>
    <w:rsid w:val="74580CD1"/>
    <w:rsid w:val="746A32D0"/>
    <w:rsid w:val="7582688E"/>
    <w:rsid w:val="75DD5CD7"/>
    <w:rsid w:val="763F09F7"/>
    <w:rsid w:val="76626F34"/>
    <w:rsid w:val="775E1ADD"/>
    <w:rsid w:val="77B6697D"/>
    <w:rsid w:val="795C16BB"/>
    <w:rsid w:val="7A202C91"/>
    <w:rsid w:val="7B7511A5"/>
    <w:rsid w:val="7C2D0FF9"/>
    <w:rsid w:val="7C6B7C97"/>
    <w:rsid w:val="7CCB32EF"/>
    <w:rsid w:val="7CE4059E"/>
    <w:rsid w:val="7CEA4DBD"/>
    <w:rsid w:val="7CF4761F"/>
    <w:rsid w:val="7D490574"/>
    <w:rsid w:val="7DE320DE"/>
    <w:rsid w:val="7E761361"/>
    <w:rsid w:val="7E7827B7"/>
    <w:rsid w:val="7EB85C64"/>
    <w:rsid w:val="7EDF28B2"/>
    <w:rsid w:val="7F0767E5"/>
    <w:rsid w:val="7F6B3D4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6">
    <w:name w:val="heading 1"/>
    <w:basedOn w:val="1"/>
    <w:next w:val="1"/>
    <w:link w:val="120"/>
    <w:qFormat/>
    <w:uiPriority w:val="0"/>
    <w:pPr>
      <w:keepNext/>
      <w:keepLines/>
      <w:spacing w:before="340" w:after="330" w:line="578" w:lineRule="auto"/>
      <w:outlineLvl w:val="0"/>
    </w:pPr>
    <w:rPr>
      <w:rFonts w:ascii="Times New Roman" w:hAnsi="Times New Roman"/>
      <w:b/>
      <w:bCs/>
      <w:kern w:val="44"/>
      <w:sz w:val="44"/>
      <w:szCs w:val="44"/>
    </w:rPr>
  </w:style>
  <w:style w:type="paragraph" w:styleId="7">
    <w:name w:val="heading 2"/>
    <w:basedOn w:val="1"/>
    <w:next w:val="1"/>
    <w:link w:val="104"/>
    <w:qFormat/>
    <w:uiPriority w:val="0"/>
    <w:pPr>
      <w:keepNext/>
      <w:keepLines/>
      <w:spacing w:before="260" w:after="260" w:line="416" w:lineRule="auto"/>
      <w:outlineLvl w:val="1"/>
    </w:pPr>
    <w:rPr>
      <w:rFonts w:ascii="Arial" w:hAnsi="Arial" w:eastAsia="黑体"/>
      <w:b/>
      <w:bCs/>
      <w:sz w:val="32"/>
      <w:szCs w:val="32"/>
    </w:rPr>
  </w:style>
  <w:style w:type="paragraph" w:styleId="8">
    <w:name w:val="heading 3"/>
    <w:basedOn w:val="1"/>
    <w:next w:val="1"/>
    <w:qFormat/>
    <w:uiPriority w:val="0"/>
    <w:pPr>
      <w:keepNext/>
      <w:keepLines/>
      <w:spacing w:before="260" w:after="260" w:line="416" w:lineRule="auto"/>
      <w:outlineLvl w:val="2"/>
    </w:pPr>
    <w:rPr>
      <w:rFonts w:ascii="Times New Roman" w:hAnsi="Times New Roman"/>
      <w:b/>
      <w:bCs/>
      <w:sz w:val="32"/>
      <w:szCs w:val="32"/>
    </w:rPr>
  </w:style>
  <w:style w:type="paragraph" w:styleId="9">
    <w:name w:val="heading 4"/>
    <w:basedOn w:val="1"/>
    <w:next w:val="1"/>
    <w:link w:val="122"/>
    <w:qFormat/>
    <w:uiPriority w:val="0"/>
    <w:pPr>
      <w:keepNext/>
      <w:tabs>
        <w:tab w:val="left" w:pos="1710"/>
      </w:tabs>
      <w:ind w:left="1710" w:hanging="720"/>
      <w:outlineLvl w:val="3"/>
    </w:pPr>
    <w:rPr>
      <w:rFonts w:ascii="Times New Roman" w:hAnsi="Times New Roman"/>
      <w:sz w:val="28"/>
      <w:szCs w:val="24"/>
    </w:rPr>
  </w:style>
  <w:style w:type="paragraph" w:styleId="10">
    <w:name w:val="heading 5"/>
    <w:basedOn w:val="1"/>
    <w:next w:val="1"/>
    <w:link w:val="121"/>
    <w:qFormat/>
    <w:uiPriority w:val="0"/>
    <w:pPr>
      <w:keepNext/>
      <w:spacing w:line="400" w:lineRule="exact"/>
      <w:jc w:val="center"/>
      <w:outlineLvl w:val="4"/>
    </w:pPr>
    <w:rPr>
      <w:rFonts w:ascii="Times New Roman" w:hAnsi="Times New Roman"/>
      <w:sz w:val="28"/>
      <w:szCs w:val="20"/>
    </w:rPr>
  </w:style>
  <w:style w:type="paragraph" w:styleId="11">
    <w:name w:val="heading 6"/>
    <w:basedOn w:val="1"/>
    <w:next w:val="12"/>
    <w:link w:val="118"/>
    <w:qFormat/>
    <w:uiPriority w:val="0"/>
    <w:pPr>
      <w:keepNext/>
      <w:keepLines/>
      <w:tabs>
        <w:tab w:val="left" w:pos="2160"/>
      </w:tabs>
      <w:spacing w:before="240" w:after="64" w:line="320" w:lineRule="auto"/>
      <w:outlineLvl w:val="5"/>
    </w:pPr>
    <w:rPr>
      <w:rFonts w:ascii="Arial" w:hAnsi="Arial" w:eastAsia="黑体"/>
      <w:b/>
      <w:spacing w:val="12"/>
      <w:sz w:val="24"/>
      <w:szCs w:val="20"/>
    </w:rPr>
  </w:style>
  <w:style w:type="paragraph" w:styleId="13">
    <w:name w:val="heading 7"/>
    <w:basedOn w:val="1"/>
    <w:next w:val="12"/>
    <w:link w:val="93"/>
    <w:qFormat/>
    <w:uiPriority w:val="0"/>
    <w:pPr>
      <w:keepNext/>
      <w:keepLines/>
      <w:tabs>
        <w:tab w:val="left" w:pos="2520"/>
      </w:tabs>
      <w:spacing w:before="240" w:after="64" w:line="320" w:lineRule="auto"/>
      <w:outlineLvl w:val="6"/>
    </w:pPr>
    <w:rPr>
      <w:rFonts w:ascii="Times New Roman" w:hAnsi="Times New Roman"/>
      <w:b/>
      <w:spacing w:val="12"/>
      <w:sz w:val="24"/>
      <w:szCs w:val="20"/>
    </w:rPr>
  </w:style>
  <w:style w:type="paragraph" w:styleId="14">
    <w:name w:val="heading 8"/>
    <w:basedOn w:val="1"/>
    <w:next w:val="12"/>
    <w:link w:val="87"/>
    <w:qFormat/>
    <w:uiPriority w:val="0"/>
    <w:pPr>
      <w:keepNext/>
      <w:keepLines/>
      <w:tabs>
        <w:tab w:val="left" w:pos="2880"/>
      </w:tabs>
      <w:spacing w:before="240" w:after="64" w:line="320" w:lineRule="auto"/>
      <w:outlineLvl w:val="7"/>
    </w:pPr>
    <w:rPr>
      <w:rFonts w:ascii="Arial" w:hAnsi="Arial" w:eastAsia="黑体"/>
      <w:spacing w:val="12"/>
      <w:sz w:val="24"/>
      <w:szCs w:val="20"/>
    </w:rPr>
  </w:style>
  <w:style w:type="paragraph" w:styleId="15">
    <w:name w:val="heading 9"/>
    <w:basedOn w:val="1"/>
    <w:next w:val="12"/>
    <w:link w:val="115"/>
    <w:qFormat/>
    <w:uiPriority w:val="0"/>
    <w:pPr>
      <w:keepNext/>
      <w:keepLines/>
      <w:tabs>
        <w:tab w:val="left" w:pos="2880"/>
      </w:tabs>
      <w:spacing w:before="240" w:after="64" w:line="320" w:lineRule="auto"/>
      <w:outlineLvl w:val="8"/>
    </w:pPr>
    <w:rPr>
      <w:rFonts w:ascii="Arial" w:hAnsi="Arial" w:eastAsia="黑体"/>
      <w:spacing w:val="12"/>
      <w:szCs w:val="20"/>
    </w:rPr>
  </w:style>
  <w:style w:type="character" w:default="1" w:styleId="43">
    <w:name w:val="Default Paragraph Font"/>
    <w:semiHidden/>
    <w:qFormat/>
    <w:uiPriority w:val="0"/>
  </w:style>
  <w:style w:type="table" w:default="1" w:styleId="50">
    <w:name w:val="Normal Table"/>
    <w:semiHidden/>
    <w:qFormat/>
    <w:uiPriority w:val="0"/>
    <w:tblPr>
      <w:tblLayout w:type="fixed"/>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样式1"/>
    <w:basedOn w:val="4"/>
    <w:next w:val="1"/>
    <w:qFormat/>
    <w:uiPriority w:val="0"/>
    <w:pPr>
      <w:snapToGrid w:val="0"/>
      <w:jc w:val="center"/>
    </w:pPr>
    <w:rPr>
      <w:szCs w:val="20"/>
    </w:rPr>
  </w:style>
  <w:style w:type="paragraph" w:styleId="4">
    <w:name w:val="index heading"/>
    <w:basedOn w:val="1"/>
    <w:next w:val="5"/>
    <w:semiHidden/>
    <w:qFormat/>
    <w:uiPriority w:val="0"/>
    <w:rPr>
      <w:rFonts w:ascii="Arial" w:hAnsi="Arial" w:cs="Arial"/>
      <w:b/>
      <w:bCs/>
    </w:rPr>
  </w:style>
  <w:style w:type="paragraph" w:styleId="5">
    <w:name w:val="index 1"/>
    <w:basedOn w:val="1"/>
    <w:next w:val="1"/>
    <w:semiHidden/>
    <w:qFormat/>
    <w:uiPriority w:val="0"/>
    <w:pPr>
      <w:spacing w:line="240" w:lineRule="atLeast"/>
      <w:jc w:val="center"/>
    </w:pPr>
    <w:rPr>
      <w:rFonts w:hAnsi="宋体"/>
    </w:rPr>
  </w:style>
  <w:style w:type="paragraph" w:styleId="12">
    <w:name w:val="Normal Indent"/>
    <w:basedOn w:val="1"/>
    <w:link w:val="112"/>
    <w:qFormat/>
    <w:uiPriority w:val="0"/>
    <w:pPr>
      <w:adjustRightInd w:val="0"/>
      <w:spacing w:line="560" w:lineRule="exact"/>
      <w:ind w:firstLine="624"/>
      <w:jc w:val="left"/>
      <w:textAlignment w:val="baseline"/>
    </w:pPr>
    <w:rPr>
      <w:rFonts w:ascii="Times New Roman" w:hAnsi="Times New Roman" w:eastAsia="仿宋_GB2312"/>
      <w:kern w:val="0"/>
      <w:sz w:val="30"/>
      <w:szCs w:val="20"/>
    </w:rPr>
  </w:style>
  <w:style w:type="paragraph" w:styleId="16">
    <w:name w:val="annotation subject"/>
    <w:basedOn w:val="17"/>
    <w:next w:val="17"/>
    <w:link w:val="102"/>
    <w:semiHidden/>
    <w:qFormat/>
    <w:uiPriority w:val="0"/>
    <w:rPr>
      <w:rFonts w:ascii="Times New Roman" w:hAnsi="Times New Roman"/>
      <w:b/>
      <w:bCs/>
      <w:szCs w:val="20"/>
    </w:rPr>
  </w:style>
  <w:style w:type="paragraph" w:styleId="17">
    <w:name w:val="annotation text"/>
    <w:basedOn w:val="1"/>
    <w:link w:val="91"/>
    <w:semiHidden/>
    <w:qFormat/>
    <w:uiPriority w:val="0"/>
    <w:pPr>
      <w:jc w:val="left"/>
    </w:pPr>
  </w:style>
  <w:style w:type="paragraph" w:styleId="18">
    <w:name w:val="toc 7"/>
    <w:basedOn w:val="1"/>
    <w:next w:val="1"/>
    <w:semiHidden/>
    <w:qFormat/>
    <w:uiPriority w:val="0"/>
    <w:pPr>
      <w:ind w:left="2520" w:leftChars="1200"/>
    </w:pPr>
    <w:rPr>
      <w:rFonts w:ascii="Times New Roman" w:hAnsi="Times New Roman"/>
      <w:szCs w:val="24"/>
    </w:rPr>
  </w:style>
  <w:style w:type="paragraph" w:styleId="19">
    <w:name w:val="Body Text First Indent"/>
    <w:basedOn w:val="20"/>
    <w:link w:val="101"/>
    <w:qFormat/>
    <w:uiPriority w:val="0"/>
    <w:pPr>
      <w:ind w:firstLine="420" w:firstLineChars="100"/>
    </w:pPr>
    <w:rPr>
      <w:rFonts w:ascii="Times New Roman" w:hAnsi="Times New Roman" w:eastAsia="仿宋_GB2312"/>
      <w:szCs w:val="20"/>
    </w:rPr>
  </w:style>
  <w:style w:type="paragraph" w:styleId="20">
    <w:name w:val="Body Text"/>
    <w:basedOn w:val="1"/>
    <w:link w:val="98"/>
    <w:qFormat/>
    <w:uiPriority w:val="0"/>
    <w:pPr>
      <w:spacing w:after="120"/>
    </w:pPr>
  </w:style>
  <w:style w:type="paragraph" w:styleId="21">
    <w:name w:val="Document Map"/>
    <w:basedOn w:val="1"/>
    <w:link w:val="88"/>
    <w:qFormat/>
    <w:uiPriority w:val="0"/>
    <w:rPr>
      <w:rFonts w:ascii="宋体"/>
      <w:sz w:val="18"/>
      <w:szCs w:val="18"/>
    </w:rPr>
  </w:style>
  <w:style w:type="paragraph" w:styleId="22">
    <w:name w:val="Body Text 3"/>
    <w:basedOn w:val="1"/>
    <w:link w:val="94"/>
    <w:qFormat/>
    <w:uiPriority w:val="0"/>
    <w:pPr>
      <w:spacing w:line="240" w:lineRule="exact"/>
      <w:jc w:val="left"/>
    </w:pPr>
    <w:rPr>
      <w:rFonts w:ascii="Times New Roman" w:hAnsi="Times New Roman"/>
      <w:szCs w:val="24"/>
    </w:rPr>
  </w:style>
  <w:style w:type="paragraph" w:styleId="23">
    <w:name w:val="Body Text Indent"/>
    <w:basedOn w:val="1"/>
    <w:link w:val="97"/>
    <w:qFormat/>
    <w:uiPriority w:val="0"/>
    <w:pPr>
      <w:spacing w:line="440" w:lineRule="exact"/>
      <w:ind w:firstLine="527"/>
    </w:pPr>
    <w:rPr>
      <w:rFonts w:ascii="宋体" w:hAnsi="Times New Roman"/>
      <w:kern w:val="0"/>
      <w:sz w:val="24"/>
      <w:szCs w:val="24"/>
    </w:rPr>
  </w:style>
  <w:style w:type="paragraph" w:styleId="24">
    <w:name w:val="toc 5"/>
    <w:basedOn w:val="1"/>
    <w:next w:val="1"/>
    <w:semiHidden/>
    <w:qFormat/>
    <w:uiPriority w:val="0"/>
    <w:pPr>
      <w:ind w:left="1680" w:leftChars="800"/>
    </w:pPr>
    <w:rPr>
      <w:rFonts w:ascii="Times New Roman" w:hAnsi="Times New Roman"/>
      <w:szCs w:val="24"/>
    </w:rPr>
  </w:style>
  <w:style w:type="paragraph" w:styleId="25">
    <w:name w:val="toc 3"/>
    <w:basedOn w:val="1"/>
    <w:next w:val="1"/>
    <w:qFormat/>
    <w:uiPriority w:val="0"/>
    <w:pPr>
      <w:spacing w:line="400" w:lineRule="exact"/>
      <w:ind w:firstLine="420" w:firstLineChars="200"/>
    </w:pPr>
    <w:rPr>
      <w:rFonts w:ascii="Times New Roman" w:hAnsi="Times New Roman"/>
      <w:bCs/>
    </w:rPr>
  </w:style>
  <w:style w:type="paragraph" w:styleId="26">
    <w:name w:val="Plain Text"/>
    <w:basedOn w:val="1"/>
    <w:link w:val="108"/>
    <w:qFormat/>
    <w:uiPriority w:val="0"/>
    <w:rPr>
      <w:rFonts w:ascii="宋体" w:hAnsi="Courier New" w:cs="Courier New"/>
    </w:rPr>
  </w:style>
  <w:style w:type="paragraph" w:styleId="27">
    <w:name w:val="toc 8"/>
    <w:basedOn w:val="1"/>
    <w:next w:val="1"/>
    <w:semiHidden/>
    <w:qFormat/>
    <w:uiPriority w:val="0"/>
    <w:pPr>
      <w:ind w:left="2940" w:leftChars="1400"/>
    </w:pPr>
    <w:rPr>
      <w:rFonts w:ascii="Times New Roman" w:hAnsi="Times New Roman"/>
      <w:szCs w:val="24"/>
    </w:rPr>
  </w:style>
  <w:style w:type="paragraph" w:styleId="28">
    <w:name w:val="Date"/>
    <w:basedOn w:val="1"/>
    <w:next w:val="1"/>
    <w:link w:val="89"/>
    <w:qFormat/>
    <w:uiPriority w:val="0"/>
    <w:pPr>
      <w:ind w:left="100" w:leftChars="2500"/>
    </w:pPr>
    <w:rPr>
      <w:rFonts w:ascii="Times New Roman" w:hAnsi="Times New Roman" w:eastAsia="仿宋_GB2312"/>
      <w:sz w:val="28"/>
      <w:szCs w:val="24"/>
    </w:rPr>
  </w:style>
  <w:style w:type="paragraph" w:styleId="29">
    <w:name w:val="Body Text Indent 2"/>
    <w:basedOn w:val="1"/>
    <w:link w:val="110"/>
    <w:qFormat/>
    <w:uiPriority w:val="0"/>
    <w:pPr>
      <w:spacing w:after="120" w:line="480" w:lineRule="auto"/>
      <w:ind w:left="420" w:leftChars="200"/>
    </w:pPr>
    <w:rPr>
      <w:rFonts w:ascii="Times New Roman" w:hAnsi="Times New Roman"/>
      <w:szCs w:val="20"/>
    </w:rPr>
  </w:style>
  <w:style w:type="paragraph" w:styleId="30">
    <w:name w:val="Balloon Text"/>
    <w:basedOn w:val="1"/>
    <w:link w:val="95"/>
    <w:semiHidden/>
    <w:qFormat/>
    <w:uiPriority w:val="0"/>
    <w:rPr>
      <w:sz w:val="18"/>
      <w:szCs w:val="18"/>
    </w:rPr>
  </w:style>
  <w:style w:type="paragraph" w:styleId="31">
    <w:name w:val="footer"/>
    <w:basedOn w:val="1"/>
    <w:link w:val="111"/>
    <w:qFormat/>
    <w:uiPriority w:val="0"/>
    <w:pPr>
      <w:tabs>
        <w:tab w:val="center" w:pos="4153"/>
        <w:tab w:val="right" w:pos="8306"/>
      </w:tabs>
      <w:snapToGrid w:val="0"/>
      <w:jc w:val="left"/>
    </w:pPr>
    <w:rPr>
      <w:rFonts w:ascii="Times New Roman" w:hAnsi="Times New Roman"/>
      <w:sz w:val="18"/>
      <w:szCs w:val="20"/>
    </w:rPr>
  </w:style>
  <w:style w:type="paragraph" w:styleId="32">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styleId="33">
    <w:name w:val="toc 1"/>
    <w:basedOn w:val="1"/>
    <w:next w:val="1"/>
    <w:qFormat/>
    <w:uiPriority w:val="39"/>
    <w:pPr>
      <w:tabs>
        <w:tab w:val="right" w:leader="dot" w:pos="8296"/>
      </w:tabs>
      <w:spacing w:before="120" w:after="120"/>
      <w:jc w:val="left"/>
    </w:pPr>
    <w:rPr>
      <w:rFonts w:ascii="Times New Roman" w:hAnsi="Times New Roman" w:eastAsia="楷体_GB2312"/>
      <w:b/>
      <w:caps/>
      <w:sz w:val="24"/>
      <w:szCs w:val="24"/>
    </w:rPr>
  </w:style>
  <w:style w:type="paragraph" w:styleId="34">
    <w:name w:val="toc 4"/>
    <w:basedOn w:val="1"/>
    <w:next w:val="1"/>
    <w:semiHidden/>
    <w:qFormat/>
    <w:uiPriority w:val="0"/>
    <w:pPr>
      <w:ind w:left="1260" w:leftChars="600"/>
    </w:pPr>
    <w:rPr>
      <w:rFonts w:ascii="Times New Roman" w:hAnsi="Times New Roman"/>
      <w:szCs w:val="24"/>
    </w:rPr>
  </w:style>
  <w:style w:type="paragraph" w:styleId="35">
    <w:name w:val="toc 6"/>
    <w:basedOn w:val="1"/>
    <w:next w:val="1"/>
    <w:semiHidden/>
    <w:qFormat/>
    <w:uiPriority w:val="0"/>
    <w:pPr>
      <w:spacing w:line="400" w:lineRule="exact"/>
      <w:ind w:firstLine="420" w:firstLineChars="200"/>
    </w:pPr>
    <w:rPr>
      <w:rFonts w:ascii="Times New Roman" w:hAnsi="Times New Roman"/>
      <w:szCs w:val="24"/>
    </w:rPr>
  </w:style>
  <w:style w:type="paragraph" w:styleId="36">
    <w:name w:val="Body Text Indent 3"/>
    <w:basedOn w:val="1"/>
    <w:link w:val="117"/>
    <w:qFormat/>
    <w:uiPriority w:val="0"/>
    <w:pPr>
      <w:spacing w:line="440" w:lineRule="exact"/>
      <w:ind w:firstLine="630" w:firstLineChars="225"/>
    </w:pPr>
    <w:rPr>
      <w:rFonts w:ascii="Times New Roman" w:hAnsi="Times New Roman" w:eastAsia="仿宋_GB2312"/>
      <w:bCs/>
      <w:sz w:val="28"/>
      <w:szCs w:val="20"/>
    </w:rPr>
  </w:style>
  <w:style w:type="paragraph" w:styleId="37">
    <w:name w:val="table of figures"/>
    <w:basedOn w:val="1"/>
    <w:next w:val="1"/>
    <w:qFormat/>
    <w:uiPriority w:val="0"/>
    <w:pPr>
      <w:tabs>
        <w:tab w:val="left" w:pos="510"/>
      </w:tabs>
      <w:adjustRightInd w:val="0"/>
      <w:spacing w:line="240" w:lineRule="atLeast"/>
      <w:jc w:val="left"/>
      <w:textAlignment w:val="baseline"/>
    </w:pPr>
    <w:rPr>
      <w:rFonts w:ascii="Times New Roman" w:hAnsi="Times New Roman"/>
      <w:kern w:val="0"/>
      <w:sz w:val="24"/>
      <w:szCs w:val="20"/>
    </w:rPr>
  </w:style>
  <w:style w:type="paragraph" w:styleId="38">
    <w:name w:val="toc 2"/>
    <w:basedOn w:val="1"/>
    <w:next w:val="1"/>
    <w:qFormat/>
    <w:uiPriority w:val="39"/>
    <w:pPr>
      <w:ind w:left="420" w:leftChars="200"/>
    </w:pPr>
    <w:rPr>
      <w:rFonts w:ascii="Times New Roman" w:hAnsi="Times New Roman"/>
      <w:szCs w:val="24"/>
    </w:rPr>
  </w:style>
  <w:style w:type="paragraph" w:styleId="39">
    <w:name w:val="toc 9"/>
    <w:basedOn w:val="1"/>
    <w:next w:val="1"/>
    <w:semiHidden/>
    <w:qFormat/>
    <w:uiPriority w:val="0"/>
    <w:pPr>
      <w:ind w:left="3360" w:leftChars="1600"/>
    </w:pPr>
    <w:rPr>
      <w:rFonts w:ascii="Times New Roman" w:hAnsi="Times New Roman"/>
      <w:szCs w:val="24"/>
    </w:rPr>
  </w:style>
  <w:style w:type="paragraph" w:styleId="40">
    <w:name w:val="Body Text 2"/>
    <w:basedOn w:val="1"/>
    <w:link w:val="92"/>
    <w:qFormat/>
    <w:uiPriority w:val="0"/>
    <w:pPr>
      <w:spacing w:before="120" w:after="120" w:line="240" w:lineRule="atLeast"/>
    </w:pPr>
    <w:rPr>
      <w:rFonts w:ascii="宋体" w:hAnsi="Times New Roman"/>
      <w:sz w:val="24"/>
      <w:szCs w:val="20"/>
    </w:rPr>
  </w:style>
  <w:style w:type="paragraph" w:styleId="41">
    <w:name w:val="Normal (Web)"/>
    <w:basedOn w:val="1"/>
    <w:next w:val="1"/>
    <w:qFormat/>
    <w:uiPriority w:val="99"/>
    <w:pPr>
      <w:ind w:left="100" w:leftChars="2500"/>
    </w:pPr>
    <w:rPr>
      <w:rFonts w:ascii="Times New Roman" w:hAnsi="Times New Roman" w:eastAsia="仿宋_GB2312"/>
      <w:sz w:val="28"/>
      <w:szCs w:val="24"/>
    </w:rPr>
  </w:style>
  <w:style w:type="paragraph" w:styleId="42">
    <w:name w:val="Title"/>
    <w:basedOn w:val="1"/>
    <w:next w:val="1"/>
    <w:qFormat/>
    <w:uiPriority w:val="0"/>
    <w:pPr>
      <w:jc w:val="left"/>
      <w:outlineLvl w:val="0"/>
    </w:pPr>
    <w:rPr>
      <w:rFonts w:ascii="Cambria" w:hAnsi="Cambria"/>
      <w:b/>
      <w:bCs/>
      <w:sz w:val="28"/>
      <w:szCs w:val="32"/>
    </w:rPr>
  </w:style>
  <w:style w:type="character" w:styleId="44">
    <w:name w:val="Strong"/>
    <w:qFormat/>
    <w:uiPriority w:val="0"/>
    <w:rPr>
      <w:b/>
      <w:bCs/>
    </w:rPr>
  </w:style>
  <w:style w:type="character" w:styleId="45">
    <w:name w:val="page number"/>
    <w:basedOn w:val="43"/>
    <w:qFormat/>
    <w:uiPriority w:val="0"/>
    <w:rPr>
      <w:szCs w:val="24"/>
    </w:rPr>
  </w:style>
  <w:style w:type="character" w:styleId="46">
    <w:name w:val="FollowedHyperlink"/>
    <w:qFormat/>
    <w:uiPriority w:val="0"/>
    <w:rPr>
      <w:color w:val="800080"/>
      <w:u w:val="single"/>
    </w:rPr>
  </w:style>
  <w:style w:type="character" w:styleId="47">
    <w:name w:val="Emphasis"/>
    <w:basedOn w:val="43"/>
    <w:qFormat/>
    <w:uiPriority w:val="0"/>
    <w:rPr>
      <w:i/>
    </w:rPr>
  </w:style>
  <w:style w:type="character" w:styleId="48">
    <w:name w:val="Hyperlink"/>
    <w:qFormat/>
    <w:uiPriority w:val="99"/>
    <w:rPr>
      <w:color w:val="0000FF"/>
      <w:u w:val="single"/>
    </w:rPr>
  </w:style>
  <w:style w:type="character" w:styleId="49">
    <w:name w:val="annotation reference"/>
    <w:semiHidden/>
    <w:qFormat/>
    <w:uiPriority w:val="0"/>
    <w:rPr>
      <w:sz w:val="21"/>
      <w:szCs w:val="21"/>
    </w:rPr>
  </w:style>
  <w:style w:type="table" w:styleId="51">
    <w:name w:val="Table Grid"/>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2">
    <w:name w:val="普通(网站)2"/>
    <w:basedOn w:val="1"/>
    <w:qFormat/>
    <w:uiPriority w:val="0"/>
    <w:pPr>
      <w:widowControl/>
      <w:spacing w:before="100" w:beforeAutospacing="1" w:after="100" w:afterAutospacing="1"/>
      <w:jc w:val="left"/>
    </w:pPr>
    <w:rPr>
      <w:rFonts w:hint="eastAsia" w:ascii="宋体" w:hAnsi="宋体"/>
      <w:sz w:val="24"/>
      <w:szCs w:val="20"/>
    </w:rPr>
  </w:style>
  <w:style w:type="paragraph" w:customStyle="1" w:styleId="53">
    <w:name w:val="6"/>
    <w:basedOn w:val="1"/>
    <w:next w:val="23"/>
    <w:qFormat/>
    <w:uiPriority w:val="0"/>
    <w:pPr>
      <w:spacing w:line="440" w:lineRule="exact"/>
      <w:ind w:firstLine="527"/>
    </w:pPr>
    <w:rPr>
      <w:rFonts w:ascii="宋体" w:hAnsi="Times New Roman"/>
      <w:sz w:val="24"/>
      <w:szCs w:val="20"/>
    </w:rPr>
  </w:style>
  <w:style w:type="paragraph" w:customStyle="1" w:styleId="54">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5">
    <w:name w:val="正文文本缩进1"/>
    <w:basedOn w:val="1"/>
    <w:qFormat/>
    <w:uiPriority w:val="0"/>
    <w:pPr>
      <w:spacing w:line="440" w:lineRule="exact"/>
      <w:ind w:firstLine="527"/>
    </w:pPr>
    <w:rPr>
      <w:rFonts w:ascii="宋体" w:hAnsi="Times New Roman"/>
      <w:sz w:val="24"/>
      <w:szCs w:val="24"/>
    </w:rPr>
  </w:style>
  <w:style w:type="paragraph" w:customStyle="1" w:styleId="56">
    <w:name w:val="Normal (Web)"/>
    <w:basedOn w:val="1"/>
    <w:qFormat/>
    <w:uiPriority w:val="0"/>
    <w:pPr>
      <w:widowControl/>
      <w:spacing w:before="100" w:beforeAutospacing="1" w:after="100" w:afterAutospacing="1"/>
      <w:jc w:val="left"/>
    </w:pPr>
    <w:rPr>
      <w:rFonts w:hint="eastAsia" w:ascii="宋体" w:hAnsi="宋体"/>
      <w:sz w:val="24"/>
      <w:szCs w:val="20"/>
    </w:rPr>
  </w:style>
  <w:style w:type="paragraph" w:customStyle="1" w:styleId="57">
    <w:name w:val="表文"/>
    <w:basedOn w:val="1"/>
    <w:qFormat/>
    <w:uiPriority w:val="0"/>
    <w:pPr>
      <w:overflowPunct w:val="0"/>
      <w:jc w:val="center"/>
      <w:textAlignment w:val="baseline"/>
    </w:pPr>
    <w:rPr>
      <w:rFonts w:ascii="Times New Roman" w:hAnsi="Times New Roman"/>
      <w:sz w:val="24"/>
      <w:szCs w:val="20"/>
    </w:rPr>
  </w:style>
  <w:style w:type="paragraph" w:customStyle="1" w:styleId="58">
    <w:name w:val="表格样式1"/>
    <w:basedOn w:val="1"/>
    <w:next w:val="1"/>
    <w:qFormat/>
    <w:uiPriority w:val="0"/>
    <w:pPr>
      <w:adjustRightInd w:val="0"/>
      <w:spacing w:line="40" w:lineRule="atLeast"/>
      <w:jc w:val="center"/>
      <w:textAlignment w:val="baseline"/>
    </w:pPr>
    <w:rPr>
      <w:rFonts w:ascii="Times New Roman" w:hAnsi="Times New Roman"/>
      <w:kern w:val="0"/>
      <w:sz w:val="24"/>
      <w:szCs w:val="20"/>
    </w:rPr>
  </w:style>
  <w:style w:type="paragraph" w:customStyle="1" w:styleId="59">
    <w:name w:val="Char2"/>
    <w:basedOn w:val="1"/>
    <w:qFormat/>
    <w:uiPriority w:val="0"/>
    <w:rPr>
      <w:rFonts w:ascii="Times New Roman" w:hAnsi="Times New Roman"/>
      <w:szCs w:val="24"/>
    </w:rPr>
  </w:style>
  <w:style w:type="paragraph" w:customStyle="1" w:styleId="60">
    <w:name w:val="样式 标题 3 + (中文) 仿宋_GB2312 四号 段前: 0 磅 段后: 0 磅 行距: 固定值 25 磅"/>
    <w:basedOn w:val="8"/>
    <w:qFormat/>
    <w:uiPriority w:val="0"/>
    <w:pPr>
      <w:snapToGrid w:val="0"/>
      <w:spacing w:before="156" w:beforeLines="50" w:after="156" w:afterLines="50" w:line="500" w:lineRule="exact"/>
    </w:pPr>
    <w:rPr>
      <w:rFonts w:eastAsia="仿宋_GB2312" w:cs="宋体"/>
      <w:sz w:val="28"/>
      <w:szCs w:val="20"/>
    </w:rPr>
  </w:style>
  <w:style w:type="paragraph" w:customStyle="1" w:styleId="61">
    <w:name w:val="表号"/>
    <w:basedOn w:val="1"/>
    <w:qFormat/>
    <w:uiPriority w:val="0"/>
    <w:pPr>
      <w:spacing w:line="440" w:lineRule="exact"/>
      <w:ind w:firstLine="200" w:firstLineChars="200"/>
      <w:jc w:val="right"/>
    </w:pPr>
    <w:rPr>
      <w:rFonts w:ascii="Arial" w:hAnsi="Arial"/>
      <w:szCs w:val="24"/>
    </w:rPr>
  </w:style>
  <w:style w:type="paragraph" w:customStyle="1" w:styleId="62">
    <w:name w:val=" Char Char Char Char Char Char Char Char Char Char Char Char Char"/>
    <w:basedOn w:val="1"/>
    <w:qFormat/>
    <w:uiPriority w:val="0"/>
    <w:rPr>
      <w:rFonts w:ascii="Times New Roman" w:hAnsi="Times New Roman"/>
      <w:szCs w:val="24"/>
    </w:rPr>
  </w:style>
  <w:style w:type="paragraph" w:customStyle="1" w:styleId="63">
    <w:name w:val="zw"/>
    <w:basedOn w:val="1"/>
    <w:semiHidden/>
    <w:qFormat/>
    <w:uiPriority w:val="0"/>
    <w:pPr>
      <w:shd w:val="clear" w:color="auto" w:fill="FFFFFF"/>
      <w:adjustRightInd w:val="0"/>
      <w:snapToGrid w:val="0"/>
      <w:spacing w:line="360" w:lineRule="auto"/>
      <w:ind w:firstLine="200" w:firstLineChars="200"/>
    </w:pPr>
    <w:rPr>
      <w:rFonts w:ascii="Times New Roman" w:hAnsi="Times New Roman"/>
      <w:snapToGrid w:val="0"/>
      <w:kern w:val="0"/>
      <w:sz w:val="20"/>
      <w:szCs w:val="20"/>
    </w:rPr>
  </w:style>
  <w:style w:type="paragraph" w:customStyle="1" w:styleId="64">
    <w:name w:val="p0"/>
    <w:basedOn w:val="1"/>
    <w:qFormat/>
    <w:uiPriority w:val="0"/>
    <w:pPr>
      <w:widowControl/>
    </w:pPr>
    <w:rPr>
      <w:rFonts w:ascii="Times New Roman" w:hAnsi="Times New Roman"/>
      <w:kern w:val="0"/>
    </w:rPr>
  </w:style>
  <w:style w:type="paragraph" w:customStyle="1" w:styleId="65">
    <w:name w:val="Char5"/>
    <w:basedOn w:val="1"/>
    <w:qFormat/>
    <w:uiPriority w:val="0"/>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66">
    <w:name w:val="样式22"/>
    <w:basedOn w:val="1"/>
    <w:qFormat/>
    <w:uiPriority w:val="0"/>
    <w:pPr>
      <w:spacing w:line="360" w:lineRule="auto"/>
      <w:ind w:firstLine="480" w:firstLineChars="200"/>
    </w:pPr>
    <w:rPr>
      <w:rFonts w:ascii="Times New Roman" w:hAnsi="Times New Roman"/>
      <w:color w:val="000000"/>
      <w:sz w:val="24"/>
      <w:szCs w:val="24"/>
    </w:rPr>
  </w:style>
  <w:style w:type="paragraph" w:customStyle="1" w:styleId="67">
    <w:name w:val="_Style 63"/>
    <w:semiHidden/>
    <w:qFormat/>
    <w:uiPriority w:val="0"/>
    <w:rPr>
      <w:rFonts w:ascii="Times New Roman" w:hAnsi="Times New Roman" w:eastAsia="宋体" w:cs="Times New Roman"/>
      <w:kern w:val="2"/>
      <w:sz w:val="21"/>
      <w:lang w:val="en-US" w:eastAsia="zh-CN" w:bidi="ar-SA"/>
    </w:rPr>
  </w:style>
  <w:style w:type="paragraph" w:customStyle="1" w:styleId="68">
    <w:name w:val="Char Char Char Char"/>
    <w:basedOn w:val="1"/>
    <w:qFormat/>
    <w:uiPriority w:val="0"/>
    <w:rPr>
      <w:rFonts w:ascii="Times New Roman" w:hAnsi="Times New Roman"/>
      <w:szCs w:val="24"/>
    </w:rPr>
  </w:style>
  <w:style w:type="paragraph" w:customStyle="1" w:styleId="69">
    <w:name w:val="段落"/>
    <w:basedOn w:val="1"/>
    <w:link w:val="86"/>
    <w:qFormat/>
    <w:uiPriority w:val="0"/>
    <w:pPr>
      <w:adjustRightInd w:val="0"/>
      <w:spacing w:line="360" w:lineRule="auto"/>
      <w:ind w:firstLine="560" w:firstLineChars="200"/>
    </w:pPr>
    <w:rPr>
      <w:rFonts w:ascii="Times New Roman" w:hAnsi="Times New Roman"/>
      <w:kern w:val="0"/>
      <w:sz w:val="28"/>
      <w:szCs w:val="28"/>
    </w:rPr>
  </w:style>
  <w:style w:type="paragraph" w:customStyle="1" w:styleId="70">
    <w:name w:val="xl2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71">
    <w:name w:val="1"/>
    <w:basedOn w:val="1"/>
    <w:next w:val="23"/>
    <w:qFormat/>
    <w:uiPriority w:val="0"/>
    <w:pPr>
      <w:spacing w:line="440" w:lineRule="exact"/>
      <w:ind w:firstLine="560" w:firstLineChars="200"/>
    </w:pPr>
    <w:rPr>
      <w:rFonts w:ascii="Times New Roman" w:hAnsi="Times New Roman" w:eastAsia="仿宋_GB2312"/>
      <w:bCs/>
      <w:sz w:val="28"/>
      <w:szCs w:val="20"/>
    </w:rPr>
  </w:style>
  <w:style w:type="paragraph" w:customStyle="1" w:styleId="72">
    <w:name w:val="样式3"/>
    <w:basedOn w:val="1"/>
    <w:qFormat/>
    <w:uiPriority w:val="0"/>
    <w:pPr>
      <w:spacing w:line="490" w:lineRule="exact"/>
      <w:jc w:val="center"/>
    </w:pPr>
    <w:rPr>
      <w:rFonts w:ascii="仿宋_GB2312" w:hAnsi="Times New Roman"/>
      <w:szCs w:val="20"/>
    </w:rPr>
  </w:style>
  <w:style w:type="paragraph" w:customStyle="1" w:styleId="73">
    <w:name w:val="5"/>
    <w:basedOn w:val="1"/>
    <w:next w:val="55"/>
    <w:qFormat/>
    <w:uiPriority w:val="0"/>
    <w:pPr>
      <w:spacing w:line="440" w:lineRule="exact"/>
      <w:ind w:firstLine="527"/>
    </w:pPr>
    <w:rPr>
      <w:rFonts w:ascii="宋体" w:hAnsi="Times New Roman"/>
      <w:sz w:val="24"/>
      <w:szCs w:val="24"/>
    </w:rPr>
  </w:style>
  <w:style w:type="paragraph" w:customStyle="1" w:styleId="74">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75">
    <w:name w:val="表名"/>
    <w:basedOn w:val="1"/>
    <w:qFormat/>
    <w:uiPriority w:val="0"/>
    <w:pPr>
      <w:overflowPunct w:val="0"/>
      <w:spacing w:before="120"/>
      <w:textAlignment w:val="baseline"/>
    </w:pPr>
    <w:rPr>
      <w:rFonts w:ascii="黑体" w:hAnsi="Arial" w:eastAsia="黑体"/>
      <w:sz w:val="24"/>
      <w:szCs w:val="20"/>
    </w:rPr>
  </w:style>
  <w:style w:type="paragraph" w:customStyle="1" w:styleId="76">
    <w:name w:val="p16"/>
    <w:basedOn w:val="1"/>
    <w:qFormat/>
    <w:uiPriority w:val="0"/>
    <w:pPr>
      <w:widowControl/>
      <w:spacing w:line="440" w:lineRule="atLeast"/>
      <w:ind w:firstLine="527"/>
    </w:pPr>
    <w:rPr>
      <w:rFonts w:ascii="宋体" w:hAnsi="宋体" w:cs="宋体"/>
      <w:kern w:val="0"/>
      <w:sz w:val="24"/>
      <w:szCs w:val="24"/>
    </w:rPr>
  </w:style>
  <w:style w:type="paragraph" w:customStyle="1" w:styleId="77">
    <w:name w:val="Char3"/>
    <w:basedOn w:val="1"/>
    <w:qFormat/>
    <w:uiPriority w:val="0"/>
    <w:rPr>
      <w:rFonts w:ascii="Times New Roman" w:hAnsi="Times New Roman"/>
      <w:szCs w:val="24"/>
    </w:rPr>
  </w:style>
  <w:style w:type="paragraph" w:customStyle="1" w:styleId="78">
    <w:name w:val="样式 段落 + 首行缩进:  2 字符"/>
    <w:basedOn w:val="69"/>
    <w:qFormat/>
    <w:uiPriority w:val="0"/>
    <w:pPr>
      <w:adjustRightInd/>
      <w:snapToGrid w:val="0"/>
    </w:pPr>
    <w:rPr>
      <w:rFonts w:cs="宋体"/>
      <w:kern w:val="2"/>
      <w:szCs w:val="20"/>
    </w:rPr>
  </w:style>
  <w:style w:type="paragraph" w:styleId="79">
    <w:name w:val="List Paragraph"/>
    <w:basedOn w:val="1"/>
    <w:qFormat/>
    <w:uiPriority w:val="0"/>
    <w:pPr>
      <w:ind w:firstLine="420" w:firstLineChars="200"/>
    </w:pPr>
    <w:rPr>
      <w:rFonts w:ascii="Times New Roman" w:hAnsi="Times New Roman"/>
      <w:szCs w:val="20"/>
    </w:rPr>
  </w:style>
  <w:style w:type="paragraph" w:customStyle="1" w:styleId="80">
    <w:name w:val="Char4"/>
    <w:basedOn w:val="1"/>
    <w:qFormat/>
    <w:uiPriority w:val="0"/>
    <w:rPr>
      <w:rFonts w:ascii="Times New Roman" w:hAnsi="Times New Roman"/>
      <w:szCs w:val="24"/>
    </w:rPr>
  </w:style>
  <w:style w:type="paragraph" w:customStyle="1" w:styleId="81">
    <w:name w:val="Char1"/>
    <w:basedOn w:val="1"/>
    <w:qFormat/>
    <w:uiPriority w:val="0"/>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82">
    <w:name w:val="p15"/>
    <w:basedOn w:val="1"/>
    <w:qFormat/>
    <w:uiPriority w:val="0"/>
    <w:pPr>
      <w:widowControl/>
      <w:ind w:firstLine="420"/>
    </w:pPr>
    <w:rPr>
      <w:rFonts w:ascii="Times New Roman" w:hAnsi="Times New Roman"/>
      <w:kern w:val="0"/>
    </w:rPr>
  </w:style>
  <w:style w:type="paragraph" w:customStyle="1" w:styleId="83">
    <w:name w:val="Char11"/>
    <w:basedOn w:val="1"/>
    <w:qFormat/>
    <w:uiPriority w:val="0"/>
    <w:rPr>
      <w:rFonts w:ascii="Times New Roman" w:hAnsi="Times New Roman"/>
      <w:szCs w:val="24"/>
    </w:rPr>
  </w:style>
  <w:style w:type="paragraph" w:customStyle="1" w:styleId="84">
    <w:name w:val="4"/>
    <w:basedOn w:val="1"/>
    <w:next w:val="23"/>
    <w:qFormat/>
    <w:uiPriority w:val="0"/>
    <w:pPr>
      <w:spacing w:line="440" w:lineRule="exact"/>
      <w:ind w:firstLine="527"/>
    </w:pPr>
    <w:rPr>
      <w:rFonts w:ascii="宋体" w:hAnsi="Times New Roman"/>
      <w:sz w:val="24"/>
      <w:szCs w:val="20"/>
    </w:rPr>
  </w:style>
  <w:style w:type="paragraph" w:customStyle="1" w:styleId="85">
    <w:name w:val="表名 Char"/>
    <w:basedOn w:val="1"/>
    <w:link w:val="105"/>
    <w:qFormat/>
    <w:uiPriority w:val="0"/>
    <w:pPr>
      <w:overflowPunct w:val="0"/>
      <w:spacing w:before="120" w:line="300" w:lineRule="exact"/>
      <w:textAlignment w:val="baseline"/>
    </w:pPr>
    <w:rPr>
      <w:rFonts w:ascii="Times New Roman" w:hAnsi="Times New Roman" w:eastAsia="黑体"/>
      <w:sz w:val="28"/>
      <w:szCs w:val="20"/>
    </w:rPr>
  </w:style>
  <w:style w:type="character" w:customStyle="1" w:styleId="86">
    <w:name w:val="段落 Char"/>
    <w:link w:val="69"/>
    <w:qFormat/>
    <w:uiPriority w:val="0"/>
    <w:rPr>
      <w:rFonts w:eastAsia="宋体"/>
      <w:sz w:val="28"/>
      <w:szCs w:val="28"/>
      <w:lang w:val="en-US" w:eastAsia="zh-CN" w:bidi="ar-SA"/>
    </w:rPr>
  </w:style>
  <w:style w:type="character" w:customStyle="1" w:styleId="87">
    <w:name w:val="标题 8 Char"/>
    <w:link w:val="14"/>
    <w:qFormat/>
    <w:uiPriority w:val="0"/>
    <w:rPr>
      <w:rFonts w:ascii="Arial" w:hAnsi="Arial" w:eastAsia="黑体"/>
      <w:spacing w:val="12"/>
      <w:kern w:val="2"/>
      <w:sz w:val="24"/>
      <w:lang w:bidi="ar-SA"/>
    </w:rPr>
  </w:style>
  <w:style w:type="character" w:customStyle="1" w:styleId="88">
    <w:name w:val="文档结构图 Char"/>
    <w:link w:val="21"/>
    <w:qFormat/>
    <w:uiPriority w:val="0"/>
    <w:rPr>
      <w:rFonts w:ascii="宋体" w:hAnsi="Calibri"/>
      <w:kern w:val="2"/>
      <w:sz w:val="18"/>
      <w:szCs w:val="18"/>
    </w:rPr>
  </w:style>
  <w:style w:type="character" w:customStyle="1" w:styleId="89">
    <w:name w:val="日期 Char"/>
    <w:link w:val="28"/>
    <w:qFormat/>
    <w:uiPriority w:val="0"/>
    <w:rPr>
      <w:rFonts w:eastAsia="仿宋_GB2312"/>
      <w:kern w:val="2"/>
      <w:sz w:val="28"/>
      <w:szCs w:val="24"/>
      <w:lang w:bidi="ar-SA"/>
    </w:rPr>
  </w:style>
  <w:style w:type="character" w:customStyle="1" w:styleId="90">
    <w:name w:val="正文（首行缩进两字） Char"/>
    <w:qFormat/>
    <w:uiPriority w:val="0"/>
    <w:rPr>
      <w:rFonts w:eastAsia="宋体"/>
      <w:kern w:val="2"/>
      <w:sz w:val="21"/>
      <w:lang w:val="en-US" w:eastAsia="zh-CN" w:bidi="ar-SA"/>
    </w:rPr>
  </w:style>
  <w:style w:type="character" w:customStyle="1" w:styleId="91">
    <w:name w:val="批注文字 Char"/>
    <w:link w:val="17"/>
    <w:semiHidden/>
    <w:qFormat/>
    <w:uiPriority w:val="0"/>
    <w:rPr>
      <w:rFonts w:ascii="Calibri" w:hAnsi="Calibri" w:eastAsia="宋体"/>
      <w:kern w:val="2"/>
      <w:sz w:val="21"/>
      <w:szCs w:val="21"/>
      <w:lang w:val="en-US" w:eastAsia="zh-CN" w:bidi="ar-SA"/>
    </w:rPr>
  </w:style>
  <w:style w:type="character" w:customStyle="1" w:styleId="92">
    <w:name w:val="正文文本 2 Char"/>
    <w:link w:val="40"/>
    <w:qFormat/>
    <w:uiPriority w:val="0"/>
    <w:rPr>
      <w:rFonts w:ascii="宋体"/>
      <w:kern w:val="2"/>
      <w:sz w:val="24"/>
      <w:lang w:bidi="ar-SA"/>
    </w:rPr>
  </w:style>
  <w:style w:type="character" w:customStyle="1" w:styleId="93">
    <w:name w:val="标题 7 Char"/>
    <w:link w:val="13"/>
    <w:qFormat/>
    <w:uiPriority w:val="0"/>
    <w:rPr>
      <w:rFonts w:eastAsia="宋体"/>
      <w:b/>
      <w:spacing w:val="12"/>
      <w:kern w:val="2"/>
      <w:sz w:val="24"/>
      <w:lang w:bidi="ar-SA"/>
    </w:rPr>
  </w:style>
  <w:style w:type="character" w:customStyle="1" w:styleId="94">
    <w:name w:val="正文文本 3 Char"/>
    <w:link w:val="22"/>
    <w:qFormat/>
    <w:uiPriority w:val="0"/>
    <w:rPr>
      <w:kern w:val="2"/>
      <w:sz w:val="21"/>
      <w:szCs w:val="24"/>
      <w:lang w:bidi="ar-SA"/>
    </w:rPr>
  </w:style>
  <w:style w:type="character" w:customStyle="1" w:styleId="95">
    <w:name w:val="批注框文本 Char"/>
    <w:link w:val="30"/>
    <w:semiHidden/>
    <w:qFormat/>
    <w:uiPriority w:val="0"/>
    <w:rPr>
      <w:rFonts w:ascii="Calibri" w:hAnsi="Calibri" w:eastAsia="宋体"/>
      <w:kern w:val="2"/>
      <w:sz w:val="18"/>
      <w:szCs w:val="18"/>
      <w:lang w:val="en-US" w:eastAsia="zh-CN" w:bidi="ar-SA"/>
    </w:rPr>
  </w:style>
  <w:style w:type="character" w:customStyle="1" w:styleId="96">
    <w:name w:val="p9l1"/>
    <w:qFormat/>
    <w:uiPriority w:val="0"/>
    <w:rPr>
      <w:sz w:val="18"/>
      <w:szCs w:val="18"/>
      <w:u w:val="none"/>
    </w:rPr>
  </w:style>
  <w:style w:type="character" w:customStyle="1" w:styleId="97">
    <w:name w:val="正文文本缩进 Char"/>
    <w:link w:val="23"/>
    <w:qFormat/>
    <w:uiPriority w:val="0"/>
    <w:rPr>
      <w:rFonts w:ascii="宋体" w:eastAsia="宋体"/>
      <w:sz w:val="24"/>
      <w:szCs w:val="24"/>
      <w:lang w:val="en-US" w:eastAsia="zh-CN" w:bidi="ar-SA"/>
    </w:rPr>
  </w:style>
  <w:style w:type="character" w:customStyle="1" w:styleId="98">
    <w:name w:val="正文文本 Char"/>
    <w:link w:val="20"/>
    <w:qFormat/>
    <w:uiPriority w:val="0"/>
    <w:rPr>
      <w:rFonts w:ascii="Calibri" w:hAnsi="Calibri" w:eastAsia="宋体"/>
      <w:kern w:val="2"/>
      <w:sz w:val="21"/>
      <w:szCs w:val="21"/>
      <w:lang w:val="en-US" w:eastAsia="zh-CN" w:bidi="ar-SA"/>
    </w:rPr>
  </w:style>
  <w:style w:type="character" w:customStyle="1" w:styleId="99">
    <w:name w:val="节标题 1.1 Char2"/>
    <w:qFormat/>
    <w:uiPriority w:val="0"/>
    <w:rPr>
      <w:rFonts w:ascii="Arial" w:hAnsi="Arial" w:eastAsia="黑体"/>
      <w:b/>
      <w:bCs/>
      <w:kern w:val="2"/>
      <w:sz w:val="32"/>
      <w:szCs w:val="32"/>
      <w:lang w:val="en-US" w:eastAsia="zh-CN" w:bidi="ar-SA"/>
    </w:rPr>
  </w:style>
  <w:style w:type="character" w:customStyle="1" w:styleId="100">
    <w:name w:val="infodetail1"/>
    <w:qFormat/>
    <w:uiPriority w:val="0"/>
    <w:rPr>
      <w:sz w:val="18"/>
      <w:szCs w:val="18"/>
    </w:rPr>
  </w:style>
  <w:style w:type="character" w:customStyle="1" w:styleId="101">
    <w:name w:val="正文首行缩进 Char"/>
    <w:link w:val="19"/>
    <w:qFormat/>
    <w:uiPriority w:val="0"/>
    <w:rPr>
      <w:rFonts w:eastAsia="仿宋_GB2312"/>
      <w:kern w:val="2"/>
      <w:sz w:val="21"/>
      <w:lang w:bidi="ar-SA"/>
    </w:rPr>
  </w:style>
  <w:style w:type="character" w:customStyle="1" w:styleId="102">
    <w:name w:val="批注主题 Char"/>
    <w:link w:val="16"/>
    <w:semiHidden/>
    <w:qFormat/>
    <w:uiPriority w:val="0"/>
    <w:rPr>
      <w:b/>
      <w:bCs/>
      <w:kern w:val="2"/>
      <w:sz w:val="21"/>
      <w:lang w:bidi="ar-SA"/>
    </w:rPr>
  </w:style>
  <w:style w:type="character" w:customStyle="1" w:styleId="103">
    <w:name w:val="正文缩进 字符"/>
    <w:qFormat/>
    <w:uiPriority w:val="0"/>
    <w:rPr>
      <w:rFonts w:ascii="Times New Roman" w:hAnsi="Times New Roman"/>
      <w:szCs w:val="24"/>
    </w:rPr>
  </w:style>
  <w:style w:type="character" w:customStyle="1" w:styleId="104">
    <w:name w:val="标题 2 Char"/>
    <w:link w:val="7"/>
    <w:qFormat/>
    <w:uiPriority w:val="0"/>
    <w:rPr>
      <w:rFonts w:ascii="Arial" w:hAnsi="Arial" w:eastAsia="黑体"/>
      <w:b/>
      <w:bCs/>
      <w:kern w:val="2"/>
      <w:sz w:val="32"/>
      <w:szCs w:val="32"/>
      <w:lang w:val="en-US" w:eastAsia="zh-CN" w:bidi="ar-SA"/>
    </w:rPr>
  </w:style>
  <w:style w:type="character" w:customStyle="1" w:styleId="105">
    <w:name w:val="表名 Char Char"/>
    <w:link w:val="85"/>
    <w:qFormat/>
    <w:uiPriority w:val="0"/>
    <w:rPr>
      <w:rFonts w:eastAsia="黑体"/>
      <w:kern w:val="2"/>
      <w:sz w:val="28"/>
      <w:lang w:bidi="ar-SA"/>
    </w:rPr>
  </w:style>
  <w:style w:type="character" w:customStyle="1" w:styleId="106">
    <w:name w:val="章标题 1 Char1"/>
    <w:qFormat/>
    <w:uiPriority w:val="0"/>
    <w:rPr>
      <w:rFonts w:eastAsia="宋体"/>
      <w:b/>
      <w:bCs/>
      <w:kern w:val="44"/>
      <w:sz w:val="44"/>
      <w:szCs w:val="44"/>
      <w:lang w:val="en-US" w:eastAsia="zh-CN" w:bidi="ar-SA"/>
    </w:rPr>
  </w:style>
  <w:style w:type="character" w:customStyle="1" w:styleId="107">
    <w:name w:val="number"/>
    <w:basedOn w:val="43"/>
    <w:qFormat/>
    <w:uiPriority w:val="0"/>
  </w:style>
  <w:style w:type="character" w:customStyle="1" w:styleId="108">
    <w:name w:val="纯文本 Char"/>
    <w:link w:val="26"/>
    <w:qFormat/>
    <w:uiPriority w:val="0"/>
    <w:rPr>
      <w:rFonts w:ascii="宋体" w:hAnsi="Courier New" w:eastAsia="宋体" w:cs="Courier New"/>
      <w:kern w:val="2"/>
      <w:sz w:val="21"/>
      <w:szCs w:val="21"/>
      <w:lang w:val="en-US" w:eastAsia="zh-CN" w:bidi="ar-SA"/>
    </w:rPr>
  </w:style>
  <w:style w:type="character" w:customStyle="1" w:styleId="109">
    <w:name w:val=" Char Char8"/>
    <w:qFormat/>
    <w:uiPriority w:val="0"/>
    <w:rPr>
      <w:rFonts w:ascii="宋体" w:hAnsi="Courier New" w:eastAsia="宋体"/>
      <w:kern w:val="2"/>
      <w:sz w:val="21"/>
      <w:lang w:val="en-US" w:eastAsia="zh-CN" w:bidi="ar-SA"/>
    </w:rPr>
  </w:style>
  <w:style w:type="character" w:customStyle="1" w:styleId="110">
    <w:name w:val="正文文本缩进 2 Char"/>
    <w:link w:val="29"/>
    <w:qFormat/>
    <w:uiPriority w:val="0"/>
    <w:rPr>
      <w:kern w:val="2"/>
      <w:sz w:val="21"/>
      <w:lang w:bidi="ar-SA"/>
    </w:rPr>
  </w:style>
  <w:style w:type="character" w:customStyle="1" w:styleId="111">
    <w:name w:val="页脚 Char"/>
    <w:link w:val="31"/>
    <w:qFormat/>
    <w:uiPriority w:val="0"/>
    <w:rPr>
      <w:kern w:val="2"/>
      <w:sz w:val="18"/>
      <w:lang w:bidi="ar-SA"/>
    </w:rPr>
  </w:style>
  <w:style w:type="character" w:customStyle="1" w:styleId="112">
    <w:name w:val="正文缩进 Char2"/>
    <w:link w:val="12"/>
    <w:qFormat/>
    <w:uiPriority w:val="0"/>
    <w:rPr>
      <w:rFonts w:eastAsia="仿宋_GB2312"/>
      <w:sz w:val="30"/>
      <w:lang w:val="en-US" w:eastAsia="zh-CN" w:bidi="ar-SA"/>
    </w:rPr>
  </w:style>
  <w:style w:type="character" w:customStyle="1" w:styleId="113">
    <w:name w:val="fontgray1"/>
    <w:qFormat/>
    <w:uiPriority w:val="0"/>
    <w:rPr>
      <w:rFonts w:hint="default" w:ascii="ˎ̥" w:hAnsi="ˎ̥"/>
      <w:color w:val="666666"/>
      <w:sz w:val="18"/>
      <w:szCs w:val="18"/>
    </w:rPr>
  </w:style>
  <w:style w:type="character" w:customStyle="1" w:styleId="114">
    <w:name w:val="right-mar30px3"/>
    <w:qFormat/>
    <w:uiPriority w:val="0"/>
    <w:rPr>
      <w:szCs w:val="24"/>
    </w:rPr>
  </w:style>
  <w:style w:type="character" w:customStyle="1" w:styleId="115">
    <w:name w:val="标题 9 Char"/>
    <w:link w:val="15"/>
    <w:qFormat/>
    <w:uiPriority w:val="0"/>
    <w:rPr>
      <w:rFonts w:ascii="Arial" w:hAnsi="Arial" w:eastAsia="黑体"/>
      <w:spacing w:val="12"/>
      <w:kern w:val="2"/>
      <w:sz w:val="21"/>
      <w:lang w:bidi="ar-SA"/>
    </w:rPr>
  </w:style>
  <w:style w:type="character" w:customStyle="1" w:styleId="116">
    <w:name w:val="页眉 Char"/>
    <w:link w:val="32"/>
    <w:qFormat/>
    <w:uiPriority w:val="0"/>
    <w:rPr>
      <w:kern w:val="2"/>
      <w:sz w:val="18"/>
      <w:lang w:bidi="ar-SA"/>
    </w:rPr>
  </w:style>
  <w:style w:type="character" w:customStyle="1" w:styleId="117">
    <w:name w:val="正文文本缩进 3 Char"/>
    <w:link w:val="36"/>
    <w:qFormat/>
    <w:uiPriority w:val="0"/>
    <w:rPr>
      <w:rFonts w:eastAsia="仿宋_GB2312"/>
      <w:bCs/>
      <w:kern w:val="2"/>
      <w:sz w:val="28"/>
      <w:lang w:bidi="ar-SA"/>
    </w:rPr>
  </w:style>
  <w:style w:type="character" w:customStyle="1" w:styleId="118">
    <w:name w:val="标题 6 Char"/>
    <w:link w:val="11"/>
    <w:qFormat/>
    <w:uiPriority w:val="0"/>
    <w:rPr>
      <w:rFonts w:ascii="Arial" w:hAnsi="Arial" w:eastAsia="黑体"/>
      <w:b/>
      <w:spacing w:val="12"/>
      <w:kern w:val="2"/>
      <w:sz w:val="24"/>
      <w:lang w:bidi="ar-SA"/>
    </w:rPr>
  </w:style>
  <w:style w:type="character" w:customStyle="1" w:styleId="119">
    <w:name w:val="q21"/>
    <w:qFormat/>
    <w:uiPriority w:val="0"/>
    <w:rPr>
      <w:rFonts w:hint="default" w:ascii="Arial" w:hAnsi="Arial" w:cs="Arial"/>
      <w:color w:val="000000"/>
      <w:sz w:val="18"/>
      <w:szCs w:val="18"/>
      <w:u w:val="none"/>
    </w:rPr>
  </w:style>
  <w:style w:type="character" w:customStyle="1" w:styleId="120">
    <w:name w:val="标题 1 Char"/>
    <w:link w:val="6"/>
    <w:qFormat/>
    <w:uiPriority w:val="0"/>
    <w:rPr>
      <w:rFonts w:eastAsia="宋体"/>
      <w:b/>
      <w:bCs/>
      <w:kern w:val="44"/>
      <w:sz w:val="44"/>
      <w:szCs w:val="44"/>
      <w:lang w:val="en-US" w:eastAsia="zh-CN" w:bidi="ar-SA"/>
    </w:rPr>
  </w:style>
  <w:style w:type="character" w:customStyle="1" w:styleId="121">
    <w:name w:val="标题 5 Char"/>
    <w:link w:val="10"/>
    <w:qFormat/>
    <w:uiPriority w:val="0"/>
    <w:rPr>
      <w:rFonts w:eastAsia="宋体"/>
      <w:kern w:val="2"/>
      <w:sz w:val="28"/>
      <w:lang w:bidi="ar-SA"/>
    </w:rPr>
  </w:style>
  <w:style w:type="character" w:customStyle="1" w:styleId="122">
    <w:name w:val="标题 4 Char"/>
    <w:link w:val="9"/>
    <w:qFormat/>
    <w:uiPriority w:val="0"/>
    <w:rPr>
      <w:rFonts w:eastAsia="宋体"/>
      <w:kern w:val="2"/>
      <w:sz w:val="28"/>
      <w:szCs w:val="24"/>
      <w:lang w:bidi="ar-SA"/>
    </w:rPr>
  </w:style>
  <w:style w:type="paragraph" w:customStyle="1" w:styleId="123">
    <w:name w:val="正文文字"/>
    <w:basedOn w:val="12"/>
    <w:next w:val="29"/>
    <w:qFormat/>
    <w:uiPriority w:val="0"/>
    <w:pPr>
      <w:adjustRightInd w:val="0"/>
      <w:snapToGrid w:val="0"/>
      <w:spacing w:line="360" w:lineRule="auto"/>
      <w:ind w:firstLine="200" w:firstLineChars="200"/>
      <w:jc w:val="both"/>
    </w:pPr>
    <w:rPr>
      <w:rFonts w:ascii="Times New Roman" w:hAnsi="Times New Roman"/>
      <w:spacing w:val="0"/>
      <w:sz w:val="24"/>
      <w:szCs w:val="21"/>
      <w:lang w:bidi="ar-SA"/>
    </w:rPr>
  </w:style>
  <w:style w:type="paragraph" w:customStyle="1" w:styleId="124">
    <w:name w:val="样式5"/>
    <w:basedOn w:val="12"/>
    <w:qFormat/>
    <w:uiPriority w:val="0"/>
    <w:pPr>
      <w:adjustRightInd w:val="0"/>
      <w:snapToGrid w:val="0"/>
      <w:spacing w:line="490" w:lineRule="exact"/>
      <w:ind w:firstLine="560"/>
    </w:pPr>
    <w:rPr>
      <w:rFonts w:eastAsia="仿宋_GB2312"/>
      <w:color w:val="000000"/>
      <w:sz w:val="28"/>
    </w:rPr>
  </w:style>
  <w:style w:type="paragraph" w:customStyle="1" w:styleId="125">
    <w:name w:val="Char"/>
    <w:basedOn w:val="1"/>
    <w:semiHidden/>
    <w:qFormat/>
    <w:uiPriority w:val="0"/>
    <w:pPr>
      <w:ind w:firstLine="200" w:firstLineChars="200"/>
    </w:pPr>
    <w:rPr>
      <w:rFonts w:ascii="Tahoma" w:hAnsi="Tahoma"/>
      <w:sz w:val="24"/>
      <w:szCs w:val="20"/>
    </w:rPr>
  </w:style>
  <w:style w:type="character" w:customStyle="1" w:styleId="126">
    <w:name w:val="bsfwico10"/>
    <w:basedOn w:val="43"/>
    <w:qFormat/>
    <w:uiPriority w:val="0"/>
  </w:style>
  <w:style w:type="character" w:customStyle="1" w:styleId="127">
    <w:name w:val="bsfwico17"/>
    <w:basedOn w:val="43"/>
    <w:qFormat/>
    <w:uiPriority w:val="0"/>
  </w:style>
  <w:style w:type="character" w:customStyle="1" w:styleId="128">
    <w:name w:val="bsfwico0"/>
    <w:basedOn w:val="43"/>
    <w:qFormat/>
    <w:uiPriority w:val="0"/>
  </w:style>
  <w:style w:type="character" w:customStyle="1" w:styleId="129">
    <w:name w:val="bsfwico1"/>
    <w:basedOn w:val="43"/>
    <w:qFormat/>
    <w:uiPriority w:val="0"/>
  </w:style>
  <w:style w:type="character" w:customStyle="1" w:styleId="130">
    <w:name w:val="bsfwico2"/>
    <w:basedOn w:val="43"/>
    <w:qFormat/>
    <w:uiPriority w:val="0"/>
  </w:style>
  <w:style w:type="character" w:customStyle="1" w:styleId="131">
    <w:name w:val="grfwico18"/>
    <w:basedOn w:val="43"/>
    <w:qFormat/>
    <w:uiPriority w:val="0"/>
  </w:style>
  <w:style w:type="character" w:customStyle="1" w:styleId="132">
    <w:name w:val="bsfwico23"/>
    <w:basedOn w:val="43"/>
    <w:qFormat/>
    <w:uiPriority w:val="0"/>
  </w:style>
  <w:style w:type="character" w:customStyle="1" w:styleId="133">
    <w:name w:val="bsfwico7"/>
    <w:basedOn w:val="43"/>
    <w:qFormat/>
    <w:uiPriority w:val="0"/>
  </w:style>
  <w:style w:type="character" w:customStyle="1" w:styleId="134">
    <w:name w:val="bsfwico3"/>
    <w:basedOn w:val="43"/>
    <w:qFormat/>
    <w:uiPriority w:val="0"/>
  </w:style>
  <w:style w:type="character" w:customStyle="1" w:styleId="135">
    <w:name w:val="bsfwico4"/>
    <w:basedOn w:val="43"/>
    <w:qFormat/>
    <w:uiPriority w:val="0"/>
  </w:style>
  <w:style w:type="character" w:customStyle="1" w:styleId="136">
    <w:name w:val="grfwico6"/>
    <w:basedOn w:val="43"/>
    <w:qFormat/>
    <w:uiPriority w:val="0"/>
  </w:style>
  <w:style w:type="character" w:customStyle="1" w:styleId="137">
    <w:name w:val="grfwico11"/>
    <w:basedOn w:val="43"/>
    <w:qFormat/>
    <w:uiPriority w:val="0"/>
  </w:style>
  <w:style w:type="character" w:customStyle="1" w:styleId="138">
    <w:name w:val="grfwico1"/>
    <w:basedOn w:val="43"/>
    <w:qFormat/>
    <w:uiPriority w:val="0"/>
  </w:style>
  <w:style w:type="character" w:customStyle="1" w:styleId="139">
    <w:name w:val="grfwico0"/>
    <w:basedOn w:val="43"/>
    <w:qFormat/>
    <w:uiPriority w:val="0"/>
  </w:style>
  <w:style w:type="character" w:customStyle="1" w:styleId="140">
    <w:name w:val="bsfwico9"/>
    <w:basedOn w:val="43"/>
    <w:qFormat/>
    <w:uiPriority w:val="0"/>
  </w:style>
  <w:style w:type="character" w:customStyle="1" w:styleId="141">
    <w:name w:val="bsfwico5"/>
    <w:basedOn w:val="43"/>
    <w:qFormat/>
    <w:uiPriority w:val="0"/>
  </w:style>
  <w:style w:type="character" w:customStyle="1" w:styleId="142">
    <w:name w:val="bsfwico6"/>
    <w:basedOn w:val="43"/>
    <w:qFormat/>
    <w:uiPriority w:val="0"/>
  </w:style>
  <w:style w:type="character" w:customStyle="1" w:styleId="143">
    <w:name w:val="bsfwico15"/>
    <w:basedOn w:val="43"/>
    <w:qFormat/>
    <w:uiPriority w:val="0"/>
  </w:style>
  <w:style w:type="character" w:customStyle="1" w:styleId="144">
    <w:name w:val="bsfwico8"/>
    <w:basedOn w:val="43"/>
    <w:qFormat/>
    <w:uiPriority w:val="0"/>
  </w:style>
  <w:style w:type="character" w:customStyle="1" w:styleId="145">
    <w:name w:val="bsfwico13"/>
    <w:basedOn w:val="43"/>
    <w:qFormat/>
    <w:uiPriority w:val="0"/>
  </w:style>
  <w:style w:type="character" w:customStyle="1" w:styleId="146">
    <w:name w:val="bsfwico11"/>
    <w:basedOn w:val="43"/>
    <w:qFormat/>
    <w:uiPriority w:val="0"/>
  </w:style>
  <w:style w:type="character" w:customStyle="1" w:styleId="147">
    <w:name w:val="bsfwico16"/>
    <w:basedOn w:val="43"/>
    <w:qFormat/>
    <w:uiPriority w:val="0"/>
  </w:style>
  <w:style w:type="character" w:customStyle="1" w:styleId="148">
    <w:name w:val="bsfwico12"/>
    <w:basedOn w:val="43"/>
    <w:qFormat/>
    <w:uiPriority w:val="0"/>
  </w:style>
  <w:style w:type="character" w:customStyle="1" w:styleId="149">
    <w:name w:val="grfwico15"/>
    <w:basedOn w:val="43"/>
    <w:qFormat/>
    <w:uiPriority w:val="0"/>
  </w:style>
  <w:style w:type="character" w:customStyle="1" w:styleId="150">
    <w:name w:val="bsfwico14"/>
    <w:basedOn w:val="43"/>
    <w:qFormat/>
    <w:uiPriority w:val="0"/>
  </w:style>
  <w:style w:type="character" w:customStyle="1" w:styleId="151">
    <w:name w:val="bsfwico18"/>
    <w:basedOn w:val="43"/>
    <w:qFormat/>
    <w:uiPriority w:val="0"/>
  </w:style>
  <w:style w:type="character" w:customStyle="1" w:styleId="152">
    <w:name w:val="bsfwico19"/>
    <w:basedOn w:val="43"/>
    <w:qFormat/>
    <w:uiPriority w:val="0"/>
  </w:style>
  <w:style w:type="character" w:customStyle="1" w:styleId="153">
    <w:name w:val="bsfwico20"/>
    <w:basedOn w:val="43"/>
    <w:qFormat/>
    <w:uiPriority w:val="0"/>
  </w:style>
  <w:style w:type="character" w:customStyle="1" w:styleId="154">
    <w:name w:val="bsfwico21"/>
    <w:basedOn w:val="43"/>
    <w:qFormat/>
    <w:uiPriority w:val="0"/>
  </w:style>
  <w:style w:type="character" w:customStyle="1" w:styleId="155">
    <w:name w:val="bsfwico22"/>
    <w:basedOn w:val="43"/>
    <w:qFormat/>
    <w:uiPriority w:val="0"/>
  </w:style>
  <w:style w:type="character" w:customStyle="1" w:styleId="156">
    <w:name w:val="grfwico13"/>
    <w:basedOn w:val="43"/>
    <w:qFormat/>
    <w:uiPriority w:val="0"/>
  </w:style>
  <w:style w:type="character" w:customStyle="1" w:styleId="157">
    <w:name w:val="grfwico2"/>
    <w:basedOn w:val="43"/>
    <w:qFormat/>
    <w:uiPriority w:val="0"/>
  </w:style>
  <w:style w:type="character" w:customStyle="1" w:styleId="158">
    <w:name w:val="grfwico17"/>
    <w:basedOn w:val="43"/>
    <w:qFormat/>
    <w:uiPriority w:val="0"/>
  </w:style>
  <w:style w:type="character" w:customStyle="1" w:styleId="159">
    <w:name w:val="grfwico3"/>
    <w:basedOn w:val="43"/>
    <w:qFormat/>
    <w:uiPriority w:val="0"/>
  </w:style>
  <w:style w:type="character" w:customStyle="1" w:styleId="160">
    <w:name w:val="grfwico4"/>
    <w:basedOn w:val="43"/>
    <w:qFormat/>
    <w:uiPriority w:val="0"/>
  </w:style>
  <w:style w:type="character" w:customStyle="1" w:styleId="161">
    <w:name w:val="grfwico5"/>
    <w:basedOn w:val="43"/>
    <w:qFormat/>
    <w:uiPriority w:val="0"/>
  </w:style>
  <w:style w:type="character" w:customStyle="1" w:styleId="162">
    <w:name w:val="grfwico7"/>
    <w:basedOn w:val="43"/>
    <w:qFormat/>
    <w:uiPriority w:val="0"/>
  </w:style>
  <w:style w:type="character" w:customStyle="1" w:styleId="163">
    <w:name w:val="grfwico8"/>
    <w:basedOn w:val="43"/>
    <w:qFormat/>
    <w:uiPriority w:val="0"/>
  </w:style>
  <w:style w:type="character" w:customStyle="1" w:styleId="164">
    <w:name w:val="grfwico9"/>
    <w:basedOn w:val="43"/>
    <w:qFormat/>
    <w:uiPriority w:val="0"/>
  </w:style>
  <w:style w:type="character" w:customStyle="1" w:styleId="165">
    <w:name w:val="grfwico10"/>
    <w:basedOn w:val="43"/>
    <w:qFormat/>
    <w:uiPriority w:val="0"/>
  </w:style>
  <w:style w:type="character" w:customStyle="1" w:styleId="166">
    <w:name w:val="grfwico12"/>
    <w:basedOn w:val="43"/>
    <w:qFormat/>
    <w:uiPriority w:val="0"/>
  </w:style>
  <w:style w:type="character" w:customStyle="1" w:styleId="167">
    <w:name w:val="grfwico14"/>
    <w:basedOn w:val="43"/>
    <w:qFormat/>
    <w:uiPriority w:val="0"/>
  </w:style>
  <w:style w:type="character" w:customStyle="1" w:styleId="168">
    <w:name w:val="grfwico16"/>
    <w:basedOn w:val="43"/>
    <w:qFormat/>
    <w:uiPriority w:val="0"/>
  </w:style>
  <w:style w:type="character" w:customStyle="1" w:styleId="169">
    <w:name w:val="grfwico19"/>
    <w:basedOn w:val="43"/>
    <w:qFormat/>
    <w:uiPriority w:val="0"/>
  </w:style>
  <w:style w:type="character" w:customStyle="1" w:styleId="170">
    <w:name w:val="hdxdata"/>
    <w:basedOn w:val="43"/>
    <w:qFormat/>
    <w:uiPriority w:val="0"/>
  </w:style>
  <w:style w:type="character" w:customStyle="1" w:styleId="171">
    <w:name w:val="hdata"/>
    <w:basedOn w:val="43"/>
    <w:qFormat/>
    <w:uiPriority w:val="0"/>
    <w:rPr>
      <w:color w:val="888888"/>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35.jpeg"/><Relationship Id="rId7" Type="http://schemas.openxmlformats.org/officeDocument/2006/relationships/header" Target="header3.xml"/><Relationship Id="rId69" Type="http://schemas.openxmlformats.org/officeDocument/2006/relationships/image" Target="media/image34.png"/><Relationship Id="rId68" Type="http://schemas.openxmlformats.org/officeDocument/2006/relationships/image" Target="media/image33.png"/><Relationship Id="rId67" Type="http://schemas.openxmlformats.org/officeDocument/2006/relationships/image" Target="media/image32.wmf"/><Relationship Id="rId66" Type="http://schemas.openxmlformats.org/officeDocument/2006/relationships/oleObject" Target="embeddings/oleObject20.bin"/><Relationship Id="rId65" Type="http://schemas.openxmlformats.org/officeDocument/2006/relationships/image" Target="media/image31.wmf"/><Relationship Id="rId64" Type="http://schemas.openxmlformats.org/officeDocument/2006/relationships/oleObject" Target="embeddings/oleObject19.bin"/><Relationship Id="rId63" Type="http://schemas.openxmlformats.org/officeDocument/2006/relationships/image" Target="media/image30.wmf"/><Relationship Id="rId62" Type="http://schemas.openxmlformats.org/officeDocument/2006/relationships/oleObject" Target="embeddings/oleObject18.bin"/><Relationship Id="rId61" Type="http://schemas.openxmlformats.org/officeDocument/2006/relationships/image" Target="media/image29.wmf"/><Relationship Id="rId60" Type="http://schemas.openxmlformats.org/officeDocument/2006/relationships/oleObject" Target="embeddings/oleObject17.bin"/><Relationship Id="rId6" Type="http://schemas.openxmlformats.org/officeDocument/2006/relationships/footer" Target="footer2.xml"/><Relationship Id="rId59" Type="http://schemas.openxmlformats.org/officeDocument/2006/relationships/image" Target="media/image28.wmf"/><Relationship Id="rId58" Type="http://schemas.openxmlformats.org/officeDocument/2006/relationships/oleObject" Target="embeddings/oleObject16.bin"/><Relationship Id="rId57" Type="http://schemas.openxmlformats.org/officeDocument/2006/relationships/image" Target="media/image27.wmf"/><Relationship Id="rId56" Type="http://schemas.openxmlformats.org/officeDocument/2006/relationships/oleObject" Target="embeddings/oleObject15.bin"/><Relationship Id="rId55" Type="http://schemas.openxmlformats.org/officeDocument/2006/relationships/image" Target="media/image26.wmf"/><Relationship Id="rId54" Type="http://schemas.openxmlformats.org/officeDocument/2006/relationships/oleObject" Target="embeddings/oleObject14.bin"/><Relationship Id="rId53" Type="http://schemas.openxmlformats.org/officeDocument/2006/relationships/image" Target="media/image25.wmf"/><Relationship Id="rId52" Type="http://schemas.openxmlformats.org/officeDocument/2006/relationships/oleObject" Target="embeddings/oleObject13.bin"/><Relationship Id="rId51" Type="http://schemas.openxmlformats.org/officeDocument/2006/relationships/image" Target="media/image24.wmf"/><Relationship Id="rId50" Type="http://schemas.openxmlformats.org/officeDocument/2006/relationships/oleObject" Target="embeddings/oleObject12.bin"/><Relationship Id="rId5" Type="http://schemas.openxmlformats.org/officeDocument/2006/relationships/header" Target="header2.xml"/><Relationship Id="rId49" Type="http://schemas.openxmlformats.org/officeDocument/2006/relationships/image" Target="media/image23.wmf"/><Relationship Id="rId48" Type="http://schemas.openxmlformats.org/officeDocument/2006/relationships/oleObject" Target="embeddings/oleObject11.bin"/><Relationship Id="rId47" Type="http://schemas.openxmlformats.org/officeDocument/2006/relationships/image" Target="media/image22.wmf"/><Relationship Id="rId46" Type="http://schemas.openxmlformats.org/officeDocument/2006/relationships/oleObject" Target="embeddings/oleObject10.bin"/><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wmf"/><Relationship Id="rId42" Type="http://schemas.openxmlformats.org/officeDocument/2006/relationships/oleObject" Target="embeddings/oleObject9.bin"/><Relationship Id="rId41" Type="http://schemas.openxmlformats.org/officeDocument/2006/relationships/image" Target="media/image18.wmf"/><Relationship Id="rId40" Type="http://schemas.openxmlformats.org/officeDocument/2006/relationships/oleObject" Target="embeddings/oleObject8.bin"/><Relationship Id="rId4" Type="http://schemas.openxmlformats.org/officeDocument/2006/relationships/footer" Target="footer1.xml"/><Relationship Id="rId39" Type="http://schemas.openxmlformats.org/officeDocument/2006/relationships/image" Target="media/image17.wmf"/><Relationship Id="rId38" Type="http://schemas.openxmlformats.org/officeDocument/2006/relationships/oleObject" Target="embeddings/oleObject7.bin"/><Relationship Id="rId37" Type="http://schemas.openxmlformats.org/officeDocument/2006/relationships/image" Target="media/image16.wmf"/><Relationship Id="rId36" Type="http://schemas.openxmlformats.org/officeDocument/2006/relationships/oleObject" Target="embeddings/oleObject6.bin"/><Relationship Id="rId35" Type="http://schemas.openxmlformats.org/officeDocument/2006/relationships/image" Target="media/image15.wmf"/><Relationship Id="rId34" Type="http://schemas.openxmlformats.org/officeDocument/2006/relationships/oleObject" Target="embeddings/oleObject5.bin"/><Relationship Id="rId33" Type="http://schemas.openxmlformats.org/officeDocument/2006/relationships/image" Target="media/image14.wmf"/><Relationship Id="rId32" Type="http://schemas.openxmlformats.org/officeDocument/2006/relationships/oleObject" Target="embeddings/oleObject4.bin"/><Relationship Id="rId31" Type="http://schemas.openxmlformats.org/officeDocument/2006/relationships/image" Target="media/image13.png"/><Relationship Id="rId30" Type="http://schemas.openxmlformats.org/officeDocument/2006/relationships/image" Target="media/image12.wmf"/><Relationship Id="rId3" Type="http://schemas.openxmlformats.org/officeDocument/2006/relationships/header" Target="header1.xml"/><Relationship Id="rId29" Type="http://schemas.openxmlformats.org/officeDocument/2006/relationships/oleObject" Target="embeddings/oleObject3.bin"/><Relationship Id="rId28" Type="http://schemas.openxmlformats.org/officeDocument/2006/relationships/image" Target="media/image11.wmf"/><Relationship Id="rId27" Type="http://schemas.openxmlformats.org/officeDocument/2006/relationships/oleObject" Target="embeddings/oleObject2.bin"/><Relationship Id="rId26" Type="http://schemas.openxmlformats.org/officeDocument/2006/relationships/image" Target="media/image10.wmf"/><Relationship Id="rId25" Type="http://schemas.openxmlformats.org/officeDocument/2006/relationships/oleObject" Target="embeddings/oleObject1.bin"/><Relationship Id="rId24" Type="http://schemas.openxmlformats.org/officeDocument/2006/relationships/image" Target="media/image9.pn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72</Pages>
  <Words>44817</Words>
  <Characters>52170</Characters>
  <Lines>393</Lines>
  <Paragraphs>110</Paragraphs>
  <TotalTime>39</TotalTime>
  <ScaleCrop>false</ScaleCrop>
  <LinksUpToDate>false</LinksUpToDate>
  <CharactersWithSpaces>53338</CharactersWithSpaces>
  <Application>WPS Office_10.8.2.6948_F1E327BC-269C-435d-A152-05C5408002CA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2019-01-11T09:59:00Z</dcterms:created>
  <dc:creator>微软用户</dc:creator>
  <cp:lastModifiedBy>Administrator</cp:lastModifiedBy>
  <cp:lastPrinted>2019-12-11T01:03:00Z</cp:lastPrinted>
  <dcterms:modified xsi:type="dcterms:W3CDTF">2020-01-14T01:01:07Z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ies>
</file>